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723"/>
        <w:jc w:val="right"/>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right"/>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right"/>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编号：JSZC-321000-NJJD-G2025-0026 </w:t>
      </w:r>
      <w:r/>
    </w:p>
    <w:p>
      <w:pPr>
        <w:ind w:left="0" w:right="0" w:firstLine="720"/>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723"/>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江苏省扬州技师学院智能交通实训室建设项目</w:t>
      </w:r>
      <w:r/>
    </w:p>
    <w:p>
      <w:pPr>
        <w:ind w:left="0" w:right="0" w:firstLine="723"/>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公开招标文件</w:t>
      </w:r>
      <w:r/>
    </w:p>
    <w:p>
      <w:pPr>
        <w:ind w:left="0" w:right="0" w:firstLine="720"/>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pStyle w:val="652"/>
        <w:ind w:left="0" w:right="0" w:firstLine="602"/>
        <w:spacing w:before="320" w:after="200" w:line="34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0"/>
        </w:rPr>
        <w:t xml:space="preserve"> </w:t>
      </w:r>
      <w:r>
        <w:rPr>
          <w:rFonts w:ascii="SimSun" w:hAnsi="SimSun" w:eastAsia="SimSun" w:cs="SimSun"/>
          <w:b/>
          <w:color w:val="000000"/>
          <w:sz w:val="36"/>
        </w:rPr>
        <w:t xml:space="preserve"> </w:t>
      </w:r>
      <w:r/>
    </w:p>
    <w:p>
      <w:pPr>
        <w:ind w:left="0" w:right="0" w:firstLine="723"/>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采购人：江苏省扬州技师学院</w:t>
      </w:r>
      <w:r/>
    </w:p>
    <w:p>
      <w:pPr>
        <w:ind w:left="0" w:right="0" w:firstLine="562"/>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发放时间：2025年11月10日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48"/>
        <w:ind w:left="0" w:right="0" w:firstLine="723"/>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 录</w:t>
      </w:r>
      <w:r/>
    </w:p>
    <w:p>
      <w:pPr>
        <w:ind w:left="0" w:right="0" w:firstLine="640"/>
        <w:jc w:val="center"/>
        <w:spacing w:before="22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560"/>
        <w:jc w:val="both"/>
        <w:spacing w:before="22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第一章 招标公告 2</w:t>
      </w:r>
      <w:r/>
    </w:p>
    <w:p>
      <w:pPr>
        <w:ind w:left="0" w:right="0" w:firstLine="560"/>
        <w:jc w:val="both"/>
        <w:spacing w:before="22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第二章 投标供应商须知 </w:t>
      </w:r>
      <w:r>
        <w:rPr>
          <w:rFonts w:ascii="Calibri" w:hAnsi="Calibri" w:eastAsia="Calibri" w:cs="Calibri"/>
          <w:color w:val="000000"/>
          <w:sz w:val="22"/>
        </w:rPr>
        <w:t xml:space="preserve">6</w:t>
      </w:r>
      <w:r/>
    </w:p>
    <w:p>
      <w:pPr>
        <w:ind w:left="0" w:right="0" w:firstLine="560"/>
        <w:jc w:val="both"/>
        <w:spacing w:before="22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第三章 合同条款及格式 </w:t>
      </w:r>
      <w:r>
        <w:rPr>
          <w:rFonts w:ascii="Calibri" w:hAnsi="Calibri" w:eastAsia="Calibri" w:cs="Calibri"/>
          <w:color w:val="000000"/>
          <w:sz w:val="22"/>
        </w:rPr>
        <w:t xml:space="preserve">17</w:t>
      </w:r>
      <w:r/>
    </w:p>
    <w:p>
      <w:pPr>
        <w:ind w:left="0" w:right="0" w:firstLine="560"/>
        <w:jc w:val="both"/>
        <w:spacing w:before="22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第四章 项目需求 </w:t>
      </w:r>
      <w:r>
        <w:rPr>
          <w:rFonts w:ascii="Calibri" w:hAnsi="Calibri" w:eastAsia="Calibri" w:cs="Calibri"/>
          <w:color w:val="000000"/>
          <w:sz w:val="22"/>
        </w:rPr>
        <w:t xml:space="preserve">21</w:t>
      </w:r>
      <w:r/>
    </w:p>
    <w:p>
      <w:pPr>
        <w:ind w:left="0" w:right="0" w:firstLine="560"/>
        <w:jc w:val="both"/>
        <w:spacing w:before="22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第五章 评标方法及评标标准 </w:t>
      </w:r>
      <w:r>
        <w:rPr>
          <w:rFonts w:ascii="Calibri" w:hAnsi="Calibri" w:eastAsia="Calibri" w:cs="Calibri"/>
          <w:color w:val="000000"/>
          <w:sz w:val="22"/>
        </w:rPr>
        <w:t xml:space="preserve">44</w:t>
      </w:r>
      <w:r/>
    </w:p>
    <w:p>
      <w:pPr>
        <w:ind w:left="0" w:right="0" w:firstLine="560"/>
        <w:jc w:val="both"/>
        <w:spacing w:before="22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第六章 投标文件格式 </w:t>
      </w:r>
      <w:r>
        <w:rPr>
          <w:rFonts w:ascii="Calibri" w:hAnsi="Calibri" w:eastAsia="Calibri" w:cs="Calibri"/>
          <w:color w:val="000000"/>
          <w:sz w:val="22"/>
        </w:rPr>
        <w:t xml:space="preserve">48</w:t>
      </w:r>
      <w:r/>
    </w:p>
    <w:p>
      <w:pPr>
        <w:ind w:left="0" w:right="0" w:firstLine="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br w:type="page" w:clear="all"/>
      </w:r>
      <w:r/>
    </w:p>
    <w:p>
      <w:pPr>
        <w:pStyle w:val="648"/>
        <w:ind w:left="0" w:right="0" w:firstLine="723"/>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第一章 招标公告</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42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9354" w:type="dxa"/>
            <w:vAlign w:val="center"/>
            <w:textDirection w:val="lrTb"/>
            <w:noWrap w:val="false"/>
          </w:tcPr>
          <w:p>
            <w:pPr>
              <w:ind w:left="0" w:right="0" w:firstLine="44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项目概况</w:t>
            </w:r>
            <w:r/>
          </w:p>
          <w:p>
            <w:pPr>
              <w:ind w:left="0" w:right="0" w:firstLine="44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江苏省扬州技师学院智能交通实训室建设项目</w:t>
            </w:r>
            <w:r>
              <w:rPr>
                <w:rFonts w:ascii="SimSun" w:hAnsi="SimSun" w:eastAsia="SimSun" w:cs="SimSun"/>
                <w:color w:val="000000"/>
                <w:sz w:val="22"/>
              </w:rPr>
              <w:t xml:space="preserve">的潜在投标供应商可在</w:t>
            </w:r>
            <w:r>
              <w:rPr>
                <w:rFonts w:ascii="SimSun" w:hAnsi="SimSun" w:eastAsia="SimSun" w:cs="SimSun"/>
                <w:color w:val="000000"/>
                <w:sz w:val="22"/>
                <w:u w:val="single"/>
              </w:rPr>
              <w:t xml:space="preserve">“中国政府采购网”、“江苏省政府采购网”、“扬州市政府采购网”</w:t>
            </w:r>
            <w:r>
              <w:rPr>
                <w:rFonts w:ascii="SimSun" w:hAnsi="SimSun" w:eastAsia="SimSun" w:cs="SimSun"/>
                <w:color w:val="000000"/>
                <w:sz w:val="22"/>
              </w:rPr>
              <w:t xml:space="preserve">自行免费下载招标文件，并于</w:t>
            </w:r>
            <w:r>
              <w:rPr>
                <w:rFonts w:ascii="SimSun" w:hAnsi="SimSun" w:eastAsia="SimSun" w:cs="SimSun"/>
                <w:color w:val="000000"/>
                <w:sz w:val="22"/>
                <w:u w:val="single"/>
              </w:rPr>
              <w:t xml:space="preserve">2025年12月1日15点00分</w:t>
            </w:r>
            <w:r>
              <w:rPr>
                <w:rFonts w:ascii="SimSun" w:hAnsi="SimSun" w:eastAsia="SimSun" w:cs="SimSun"/>
                <w:color w:val="000000"/>
                <w:sz w:val="22"/>
              </w:rPr>
              <w:t xml:space="preserve">（北京时间）前递交投标文件。</w:t>
            </w:r>
            <w:r/>
          </w:p>
        </w:tc>
      </w:tr>
    </w:tbl>
    <w:p>
      <w:pPr>
        <w:ind w:left="0" w:right="0" w:firstLine="562"/>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一、项目基本情况</w:t>
      </w:r>
      <w:r/>
    </w:p>
    <w:p>
      <w:pPr>
        <w:ind w:left="0" w:right="0" w:firstLine="56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项目编号：JSZC-321000-NJJD-G2025-0026 </w:t>
      </w:r>
      <w:r/>
    </w:p>
    <w:p>
      <w:pPr>
        <w:ind w:left="0" w:right="0" w:firstLine="56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项目名称：江苏省扬州技师学院智能交通实训室建设项目 </w:t>
      </w:r>
      <w:r/>
    </w:p>
    <w:p>
      <w:pPr>
        <w:ind w:left="0" w:right="0" w:firstLine="56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预算金额：人民币99.3万元 </w:t>
      </w:r>
      <w:r/>
    </w:p>
    <w:p>
      <w:pPr>
        <w:ind w:left="0" w:right="0" w:firstLine="56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最高限价（如有）：人民币99.3万元，</w:t>
      </w:r>
      <w:r>
        <w:rPr>
          <w:rFonts w:ascii="SimSun" w:hAnsi="SimSun" w:eastAsia="SimSun" w:cs="SimSun"/>
          <w:b/>
          <w:color w:val="000000"/>
          <w:sz w:val="22"/>
        </w:rPr>
        <w:t xml:space="preserve">投标报价超过最高限价的作无效投标处理。</w:t>
      </w:r>
      <w:r/>
    </w:p>
    <w:p>
      <w:pPr>
        <w:ind w:left="0" w:right="0" w:firstLine="56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采购方式：公开招标 </w:t>
      </w:r>
      <w:r/>
    </w:p>
    <w:p>
      <w:pPr>
        <w:ind w:left="0" w:right="0" w:firstLine="56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采购需求：具体详见招标文件第四章项目需求。</w:t>
      </w:r>
      <w:r/>
    </w:p>
    <w:p>
      <w:pPr>
        <w:ind w:left="0" w:right="0" w:firstLine="56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合同履行期限：合同签订之日起30日历天内完成项目所有内容，并经采购人验收合格，正常投入使用。</w:t>
      </w:r>
      <w:r/>
    </w:p>
    <w:p>
      <w:pPr>
        <w:ind w:left="0" w:right="0" w:firstLine="56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本项目（是/否）接受联合体投标：不接受联合体 </w:t>
      </w:r>
      <w:r/>
    </w:p>
    <w:p>
      <w:pPr>
        <w:ind w:left="0" w:right="0" w:firstLine="562"/>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二、申请人的资格要求</w:t>
      </w:r>
      <w:r/>
    </w:p>
    <w:p>
      <w:pPr>
        <w:ind w:left="0" w:right="0" w:firstLine="56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（一）满足《中华人民共和国政府采购法》第二十二条规定；</w:t>
      </w:r>
      <w:r/>
    </w:p>
    <w:p>
      <w:pPr>
        <w:ind w:left="0" w:right="0" w:firstLine="56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1.法人或者其他组织的营业执照等证明文件，自然人的身份证明；</w:t>
      </w:r>
      <w:r/>
    </w:p>
    <w:p>
      <w:pPr>
        <w:ind w:left="0" w:right="0" w:firstLine="56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2.上一年度的财务状况报告（成立不满一年无需提供）；</w:t>
      </w:r>
      <w:r/>
    </w:p>
    <w:p>
      <w:pPr>
        <w:ind w:left="0" w:right="0" w:firstLine="56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3.依法缴纳税收和社会保障资金的相关材料（提供提交响应文件截止时间前一年内任意一个月依法缴纳税收及缴纳社会保障资金的证明材料。供应商依法享受缓缴、免缴税收、社会保障资金的提供证明材料。）；</w:t>
      </w:r>
      <w:r/>
    </w:p>
    <w:p>
      <w:pPr>
        <w:ind w:left="0" w:right="0" w:firstLine="56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4.具备履行合同所必需的设备和专业技术能力的书面声明；</w:t>
      </w:r>
      <w:r/>
    </w:p>
    <w:p>
      <w:pPr>
        <w:ind w:left="0" w:right="0" w:firstLine="56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5.参加政府采购活动前3年内在经营活动中没有重大违法记录的书面声明；</w:t>
      </w:r>
      <w:r/>
    </w:p>
    <w:p>
      <w:pPr>
        <w:ind w:left="0" w:right="0" w:firstLine="56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6.供应商信用承诺函。</w:t>
      </w:r>
      <w:r/>
    </w:p>
    <w:p>
      <w:pPr>
        <w:ind w:left="0" w:right="0" w:firstLine="56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（二）落实政府采购政策需满足的资格要求：</w:t>
      </w:r>
      <w:r/>
    </w:p>
    <w:p>
      <w:pPr>
        <w:ind w:left="0" w:right="0" w:firstLine="442"/>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2"/>
          <w:u w:val="single"/>
        </w:rPr>
        <w:t xml:space="preserve">本项目专门面向中小企业采购。投标供应商投标时须提供《中小企业声明函》，《中小企业声明函》不符合要求或未提供的，投标文件无效。</w:t>
      </w:r>
      <w:r/>
    </w:p>
    <w:p>
      <w:pPr>
        <w:ind w:left="0" w:right="0" w:firstLine="56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（三）本项目的特定资格要求： </w:t>
      </w:r>
      <w:r/>
    </w:p>
    <w:p>
      <w:pPr>
        <w:ind w:left="0" w:right="0" w:firstLine="442"/>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2"/>
          <w:u w:val="single"/>
        </w:rPr>
        <w:t xml:space="preserve">无。</w:t>
      </w:r>
      <w:r/>
    </w:p>
    <w:p>
      <w:pPr>
        <w:ind w:left="0" w:right="0" w:firstLine="562"/>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三、获取招标文件</w:t>
      </w:r>
      <w:r/>
    </w:p>
    <w:p>
      <w:pPr>
        <w:ind w:left="0" w:right="0" w:firstLine="56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时间：自招标公告发布起5个工作日</w:t>
      </w:r>
      <w:r/>
    </w:p>
    <w:p>
      <w:pPr>
        <w:ind w:left="0" w:right="0" w:firstLine="56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地点：“中国政府采购网”、“江苏省政府采购网”“扬州市政府采购网” </w:t>
      </w:r>
      <w:r/>
    </w:p>
    <w:p>
      <w:pPr>
        <w:ind w:left="0" w:right="0" w:firstLine="56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方式：本项目采用网上注册登记方式。 </w:t>
      </w:r>
      <w:r/>
    </w:p>
    <w:p>
      <w:pPr>
        <w:ind w:left="0" w:right="0" w:firstLine="56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售价：0元</w:t>
      </w:r>
      <w:r/>
    </w:p>
    <w:p>
      <w:pPr>
        <w:ind w:left="0" w:right="0" w:firstLine="562"/>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四、提交投标文件截止时间、开标时间和地点</w:t>
      </w:r>
      <w:r/>
    </w:p>
    <w:p>
      <w:pPr>
        <w:ind w:left="0" w:right="0" w:firstLine="56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投标文件接收截止时间及开标时间：2025年12月1日15点00分（北京时间）</w:t>
      </w:r>
      <w:r/>
    </w:p>
    <w:p>
      <w:pPr>
        <w:ind w:left="0" w:right="0" w:firstLine="56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地点：</w:t>
      </w:r>
      <w:r>
        <w:rPr>
          <w:rFonts w:ascii="SimSun" w:hAnsi="SimSun" w:eastAsia="SimSun" w:cs="SimSun"/>
          <w:b/>
          <w:color w:val="000000"/>
          <w:sz w:val="22"/>
        </w:rPr>
        <w:t xml:space="preserve">“苏采云”系统（网址：</w:t>
      </w:r>
      <w:hyperlink r:id="rId9" w:tooltip="http://jszfcg.jsczt.cn/%EF%BC%89/%E2%80%9C%E5%BC%80%E6%A0%87%E5%A4%A7%E5%8E%85/%E2%80%9D" w:history="1">
        <w:r>
          <w:rPr>
            <w:rStyle w:val="808"/>
            <w:rFonts w:ascii="SimSun" w:hAnsi="SimSun" w:eastAsia="SimSun" w:cs="SimSun"/>
            <w:b/>
            <w:color w:val="0000ee"/>
            <w:sz w:val="22"/>
            <w:u w:val="single"/>
          </w:rPr>
          <w:t xml:space="preserve">http://jszfcg.jsczt.cn/）</w:t>
        </w:r>
      </w:hyperlink>
      <w:r/>
      <w:r/>
    </w:p>
    <w:p>
      <w:pPr>
        <w:ind w:left="0" w:right="0" w:firstLine="562"/>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五、公告期限</w:t>
      </w:r>
      <w:r/>
    </w:p>
    <w:p>
      <w:pPr>
        <w:ind w:left="0" w:right="0" w:firstLine="56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自本公告发布之日起5个工作日。</w:t>
      </w:r>
      <w:r/>
    </w:p>
    <w:p>
      <w:pPr>
        <w:ind w:left="0" w:right="0" w:firstLine="562"/>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六、其他补充事宜</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1、本采购文件中斜体下划线部分为实质性响应条件，为必须遵守的条件，如不满足将作无效投标文件处理。</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i/>
          <w:color w:val="000000"/>
          <w:sz w:val="24"/>
          <w:u w:val="single"/>
        </w:rPr>
        <w:t xml:space="preserve">供应商须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rPr>
          <w:rFonts w:ascii="SimSun" w:hAnsi="SimSun" w:eastAsia="SimSun" w:cs="SimSun"/>
          <w:color w:val="000000"/>
          <w:sz w:val="24"/>
        </w:rPr>
        <w:t xml:space="preserve">（投标文件中无需提供证明材料）</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3、本次招标不收取投标保证金；不收取履约保证金。</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5、供应商如确定参加投标，可自行下载采购文件及有关资料，按照《操作手册》进行注册，领取CA和办理电子签章，并按《操作手册》要求制作、上传电子投标文件，技术支持联系方式：13813140731。</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6、请供应商在开标前登录谷歌浏览器进入不见面大厅，并准备好耳麦和摄像设备。因供应商网络与电源不稳定、未按要求配置上述设备、上述设备发生故障等自身原因，导致投标失败，供应商自行承担其后果。</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7、潜在供应商对采购文件项目需求部分的询问、质疑请向采购人提出，由采购人负责答复。</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8、有关本次采购的事项若存在变动或修改，敬请及时关注 “扬州市政府采购网”、“江苏省政府采购网”、“中国政府采购网”发布的信息。</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10、供应商对于投标产品的包装应按照“财办库〔2020〕123号《关于印发《商品包装政府采购需求标准（试行）》、《快递包装政府采购需求标准（试行）》的通知》”执行；</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11、落实好政府采购履约资金扶持政策。中标/成交供应商可凭政府采购合同办理融资贷款，详见江苏政府采购网“政采贷”专栏；</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w:t>
      </w:r>
      <w:r>
        <w:rPr>
          <w:rFonts w:ascii="SimSun" w:hAnsi="SimSun" w:eastAsia="SimSun" w:cs="SimSun"/>
          <w:color w:val="000000"/>
          <w:sz w:val="24"/>
        </w:rPr>
        <w:t xml:space="preserve">先采购节能产品、环境标志产品。</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13、潜在供应商访问政府采购管理交易系统（苏采云）的网络地址和方法：</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（2）“CA数字证书”的获取：供应商需办理CA锁，“苏采云”系统目前仅支持“苏采云”系统下的政务CA，省内各地区办理的“苏采云”系统下的政务CA全省通用。</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（3）“CA数字证书”的办理材料以及供应商操作手册详见：</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http://zfcg.yangzhou.gov.cn/zfcg/xzzx/202309/4d7de1f7865f4a2894fc22bc452f94d8.shtml。</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（4）潜在供应商访问“苏采云”系统的网络地址和方法：“苏采云”系统的网址：http://jszfcg.jsczt.cn/。</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（5）采购文件（后缀名为“.kedt”）、供应商操作手册及政府采购客户端工具也可通过“苏采云”系统--已报名项目--报名详情页面内相应链接进行下载。</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（6）招标代理机构（采购代理机构）将数据电文形式的采购文件加载至“苏采云”系统，供潜在供应商下载或者查阅。     </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（7）苏采云系统使用谷歌浏览器参与不见面开标。</w:t>
      </w:r>
      <w:r/>
    </w:p>
    <w:p>
      <w:pPr>
        <w:ind w:left="0" w:right="0" w:firstLine="562"/>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七、对本次招标提出询问，请按以下方式联系</w:t>
      </w:r>
      <w:r/>
    </w:p>
    <w:p>
      <w:pPr>
        <w:ind w:left="0" w:right="0" w:firstLine="56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1.采购人信息 </w:t>
      </w:r>
      <w:r/>
    </w:p>
    <w:p>
      <w:pPr>
        <w:ind w:left="0" w:right="0" w:firstLine="56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名称：江苏省扬州技师学院</w:t>
      </w:r>
      <w:r/>
    </w:p>
    <w:p>
      <w:pPr>
        <w:ind w:left="0" w:right="0" w:firstLine="56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地址：江苏省扬州市邗江区职中路31号</w:t>
      </w:r>
      <w:r/>
    </w:p>
    <w:p>
      <w:pPr>
        <w:ind w:left="0" w:right="0" w:firstLine="56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联系方式：侯冲 19962576946</w:t>
      </w:r>
      <w:r/>
    </w:p>
    <w:p>
      <w:pPr>
        <w:ind w:left="0" w:right="0" w:firstLine="56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2.采购代理机构信息</w:t>
      </w:r>
      <w:r/>
    </w:p>
    <w:p>
      <w:pPr>
        <w:ind w:left="0" w:right="0" w:firstLine="56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名称：南京金鼎工程造价评估有限责任公司扬州分公司 </w:t>
      </w:r>
      <w:r/>
    </w:p>
    <w:p>
      <w:pPr>
        <w:ind w:left="0" w:right="0" w:firstLine="56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地址：扬州市国展路29号（星耀天地商务中心）2幢9层903室</w:t>
      </w:r>
      <w:r/>
    </w:p>
    <w:p>
      <w:pPr>
        <w:ind w:left="0" w:right="0" w:firstLine="56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联系方式：王石磊 18762317185</w:t>
      </w:r>
      <w:r/>
    </w:p>
    <w:p>
      <w:pPr>
        <w:ind w:left="0" w:right="0" w:firstLine="56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3.项目联系方式</w:t>
      </w:r>
      <w:r/>
    </w:p>
    <w:p>
      <w:pPr>
        <w:ind w:left="0" w:right="0" w:firstLine="56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联系方式：王石磊 18762317185</w:t>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48"/>
        <w:ind w:left="0" w:right="0" w:firstLine="723"/>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 投标供应商须知</w:t>
      </w:r>
      <w:r/>
    </w:p>
    <w:p>
      <w:pPr>
        <w:ind w:left="0" w:right="0" w:firstLine="562"/>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1、招标方式</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 本次招标采取公开招标方式，本招标文件仅适用于本项目。</w:t>
      </w:r>
      <w:r/>
    </w:p>
    <w:p>
      <w:pPr>
        <w:ind w:left="0" w:right="0" w:firstLine="562"/>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2、投标供应商</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 本招标文件中“供应商”，即“投标供应商”，是指参加投标竞争，并符合招标文件规定资格条件的法人、其他组织或者自然人。</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2.2合格的投标供应商</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2.2.1 满足招标公告中供应商的资格条件要求的规定。</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2.2.2 满足本文件实质性条款的规定。</w:t>
      </w:r>
      <w:r/>
    </w:p>
    <w:p>
      <w:pPr>
        <w:ind w:left="0" w:right="0" w:firstLine="562"/>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3、适用法律</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 本次招标及由此产生的合同受中华人民共和国有关的法律法规制约和保护。</w:t>
      </w:r>
      <w:r/>
    </w:p>
    <w:p>
      <w:pPr>
        <w:ind w:left="0" w:right="0" w:firstLine="562"/>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4、投标费用</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 投标供应商应自行承担所有与参加投标有关的费用，无论投标过程中的做法和结果如 何，代理机构在任何情况下均无义务和责任承担这些费用。</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本次采购由中标供应商在领取中标通知书前按计价格（2002）1980号文规定标准支付代理服务费及专家评审费按照（扬财购〔2020〕40号）文《扬州市财政局关于进一步规范扬州市政府采购专家评审费标准的通知》标准执行。</w:t>
      </w:r>
      <w:r/>
    </w:p>
    <w:p>
      <w:pPr>
        <w:ind w:left="0" w:right="0" w:firstLine="562"/>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5、招标文件的约束力</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 投标供应商一旦参加本项目采购活动，即被认为接受了本招标文件的规定和约束。</w:t>
      </w:r>
      <w:r/>
    </w:p>
    <w:p>
      <w:pPr>
        <w:ind w:left="0" w:right="0" w:firstLine="562"/>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6、招标文件构成</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 招标文件有以下部分组成：</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（1）招标公告</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（2）投标供应商须知</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（3）合同条款及格式</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（4）项目需求</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（5）评标方法与评标标准</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（6）投标文件格式</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请仔细检查招标文件是否齐全，如有缺漏请立即与代理机构联系解决。</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6.2 招标的最小单位是包。招标服务数量及技术要求中未分包的，供应商对要求提供的服务不得部分投标；招标服务数量及技术要求中已经分包的，应当以包为单位投标。</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6.3 招标文件如果要求供应商提交备选投标方案的，供应商可以提交备选方案；否则，备选方案将被拒绝。</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6.4 投标供应商应认真阅读招标文件中所有的事项、格式、条款和规范等要求。按招标文件要求和规定编制投标文件，并保证所提供的全部资料的真实性，以使其投标文件对招标文件作出实质性响应，否则其风险由投标供应商自行承担。</w:t>
      </w:r>
      <w:r/>
    </w:p>
    <w:p>
      <w:pPr>
        <w:ind w:left="0" w:right="0" w:firstLine="562"/>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7、招标文件的澄清</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7.1 任何要求对招标文件进行澄清的投标供应商，应在投标截止日期的十日前按招标公告中的通讯地址，以书面形式通知代理机构。</w:t>
      </w:r>
      <w:r/>
    </w:p>
    <w:p>
      <w:pPr>
        <w:ind w:left="0" w:right="0" w:firstLine="562"/>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8、招标文件的修改</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8.1 在投标截止时间前，代理机构可以对招标文件进行修改。</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8.2代理机构在招标文件要求提交投标文件截止时间前，有权按照法定要求推迟投标截止时间和开标时间。</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8.3招标文件的修改将在“中国政府采购网”、“江苏省政府采购网”、“扬州市政府采购网”公布，补充文件将作为招标文件的组成部分，并对投标供应商具有约束力。</w:t>
      </w:r>
      <w:r/>
    </w:p>
    <w:p>
      <w:pPr>
        <w:ind w:left="0" w:right="0" w:firstLine="562"/>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9、投标文件的语言、度量衡单位、货币</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9.1投标供应商提交的投标文件以及投标供应商与代理机构就有关投标的所有来往通知、函件和文件均应使用简体中文。</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9.2 除技术性能另有规定外，投标文件所使用的度量衡单位，均须采用国家法定计量单位。</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9.3投标供应商应使用人民币报价。</w:t>
      </w:r>
      <w:r/>
    </w:p>
    <w:p>
      <w:pPr>
        <w:ind w:left="0" w:right="0" w:firstLine="562"/>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10、投标文件构成</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10.1投标文件由以下部分组成</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（1）资格审查响应对照表</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（2）符合性审查响应对照表</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（3）非实质性响应对照表</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（4）开标一览表 </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（5）分项报价表 </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（6）技术参数响应及偏离表 </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（7）商务条款响应及偏离表 </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（8）其他 （投标供应商认为有必要提供的声明和文件，如有自拟并自行添加）</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10.2投标供应商应当根据招标文件要求编制投标文件，投标文件应对招标文件提出的要求和条件作出响应，并在相应的投标文件中逐条标明满足与否。</w:t>
      </w:r>
      <w:r/>
    </w:p>
    <w:p>
      <w:pPr>
        <w:ind w:left="0" w:right="0" w:firstLine="562"/>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11、证明投标供应商资格及符合招标文件规定的文件</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11.1投标供应商应按要求提交资格证明文件及符合招标文件规定的文件。</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11.2投标供应商应提交证明其有资格参加投标和中标后有能力独立履行合同的文件。</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11.3投标供应商除必须具有履行合同所需提供的产品或服务的能力外，还必须具备相应的财务、技术方面的能力。</w:t>
      </w:r>
      <w:r/>
    </w:p>
    <w:p>
      <w:pPr>
        <w:ind w:left="0" w:right="0" w:firstLine="42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11.4投标供应商应提交根据合同要求提供的证明服务质量合格以及符合招标文件规定的证明文件。</w:t>
      </w:r>
      <w:r/>
    </w:p>
    <w:p>
      <w:pPr>
        <w:ind w:left="0" w:right="0" w:firstLine="42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11.5证明投标供应商所提供服务与招标文件的要求相一致的文件可以是手册、图纸、文字资料和数据。</w:t>
      </w:r>
      <w:r/>
    </w:p>
    <w:p>
      <w:pPr>
        <w:ind w:left="0" w:right="0" w:firstLine="562"/>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12、分项报价表</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12.1 投标供应商应按照招标文件规定格式填报分项报价表，每项服务只允许有一个报价，任何有选择的报价将不予接受。</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12.2 标的物</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采购人需求的服务等。</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12.3有关费用处理</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招标报价采用总承包方式，投标供应商的报价应包含为完成本项目所有服务内容所涉及的一切费用</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12.4其它费用处理</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招标文件未列明，而投标供应商认为必需的费用也需列入报价。</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12.5投标货币</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投标文件中的服务单价和总价无特殊规定的采用人民币报价，以元为单位标注。招标文件中另有规定的按规定执行。</w:t>
      </w:r>
      <w:r/>
    </w:p>
    <w:p>
      <w:pPr>
        <w:ind w:left="0" w:right="0" w:firstLine="562"/>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13、技术参数响应及偏离表、商务条款响应及偏离表说明</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13.1 对招标文件中的技术与商务条款要求逐项作出响应或偏离，并说明原因；</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13.2 投标供应商认为需要的其他技术文件或说明。</w:t>
      </w:r>
      <w:r/>
    </w:p>
    <w:p>
      <w:pPr>
        <w:ind w:left="0" w:right="0" w:firstLine="562"/>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14、服务承诺及服务机构、人员的情况介绍</w:t>
      </w:r>
      <w:r/>
    </w:p>
    <w:p>
      <w:pPr>
        <w:ind w:left="0" w:right="0" w:firstLine="42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14.1投标供应商的服务承诺应按不低于招标文件中商务要求的标准。</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14.2提供投标供应商有关服务的管理制度、服务机构的分布情况、服务人员的数量、素质、技术水平及售后服务的反应能力。</w:t>
      </w:r>
      <w:r/>
    </w:p>
    <w:p>
      <w:pPr>
        <w:ind w:left="0" w:right="0" w:firstLine="562"/>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15、投标函和开标一览表</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15.1 投标供应商应按照招标文件中提供的格式完整、正确填写投标函、开标一览表。</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15.2 开标一览表中的价格应与投标文件中分项报价表中的价格一致，如不一致，不作为无效投标处理，但评标时按开标一览表中价格为准。</w:t>
      </w:r>
      <w:r/>
    </w:p>
    <w:p>
      <w:pPr>
        <w:ind w:left="0" w:right="0" w:firstLine="562"/>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16、投标有效期</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16.1 投标有效期为开标之日起六十（</w:t>
      </w:r>
      <w:r>
        <w:rPr>
          <w:rFonts w:ascii="SimSun" w:hAnsi="SimSun" w:eastAsia="SimSun" w:cs="SimSun"/>
          <w:b/>
          <w:color w:val="000000"/>
          <w:sz w:val="22"/>
        </w:rPr>
        <w:t xml:space="preserve">60</w:t>
      </w:r>
      <w:r>
        <w:rPr>
          <w:rFonts w:ascii="SimSun" w:hAnsi="SimSun" w:eastAsia="SimSun" w:cs="SimSun"/>
          <w:color w:val="000000"/>
          <w:sz w:val="22"/>
        </w:rPr>
        <w:t xml:space="preserve">）天。投标有效期比规定短的将被视为非响应性投标而予以拒绝。</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16.2 在特殊情况下，代理机构于原投标有效期满之前，可向投标供应商提出延长投标有效期的要求。这种要求与答复均应采用书面形式。投标供应商可以拒绝代理机构的这一要求而放弃投标；同意延长投标有效期的投标供应商既不能要求也不允许修改其投标文件。本招标文件受投标有效期约束的所有权利与义务均延长至新的有效期。</w:t>
      </w:r>
      <w:r/>
    </w:p>
    <w:p>
      <w:pPr>
        <w:ind w:left="0" w:right="0" w:firstLine="562"/>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17、投标文件的递交</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17.1 电子投标文件的递交投标供应商应当按照《操作手册》规定，在投标截止时间前制作并上传电子投标文件。</w:t>
      </w:r>
      <w:r/>
    </w:p>
    <w:p>
      <w:pPr>
        <w:ind w:left="0" w:right="0" w:firstLine="562"/>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17.2政府采购管理交易系统（苏采云）相关要求是本招标文件的组成部分。</w:t>
      </w:r>
      <w:r/>
    </w:p>
    <w:p>
      <w:pPr>
        <w:ind w:left="0" w:right="0" w:firstLine="562"/>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17.3投标供应商应对CA 证书妥善保管，如被他人盗用投标，因此带来的结果均由投标供应商自行承担。</w:t>
      </w:r>
      <w:r/>
    </w:p>
    <w:p>
      <w:pPr>
        <w:ind w:left="0" w:right="0" w:firstLine="562"/>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17.4投标供应商应当对招标文件提出的要求和条件作出实质性响应，并在电子投标系统逐条应答。</w:t>
      </w:r>
      <w:r/>
    </w:p>
    <w:p>
      <w:pPr>
        <w:ind w:left="0" w:right="0" w:firstLine="562"/>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17.5投标供应商应对要求提供的资格证明文件（如资质证书、资格证书）、技术资料（如白皮书、彩页、手册、检测报告等）扫描上传至投标系统。</w:t>
      </w:r>
      <w:r/>
    </w:p>
    <w:p>
      <w:pPr>
        <w:ind w:left="0" w:right="0" w:firstLine="562"/>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17.6投标供应商应当在招标文件要求提交投标文件的截止时间前，将投标文件提交至“苏采云”系统，逾期提交的投标文件，“苏采云”系统将自动拒收。</w:t>
      </w:r>
      <w:r/>
    </w:p>
    <w:p>
      <w:pPr>
        <w:ind w:left="0" w:right="0" w:firstLine="562"/>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17.7各投标供应商应在规定时间内凭CA证书进行网上解密。</w:t>
      </w:r>
      <w:r/>
    </w:p>
    <w:p>
      <w:pPr>
        <w:ind w:left="0" w:right="0" w:firstLine="562"/>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18、投标截止日期</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18.1 投标供应商上传电子投标文件的时间不得迟于招标公告中规定的投标截止时间。</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投标供应商应充分考虑到网络环境、网络带宽等风险因素，如因投标供应商自身原因造成的电子投标文件上传不成功由投标供应商自行承担全部责任。</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18.2 代理机构可以按照规定，通过修改招标文件延长投标截止日期，在此情况下，投标供应商的所有权利和义务以及投标供应商受制的截止日期均应以延长后新的截止日期为准。</w:t>
      </w:r>
      <w:r/>
    </w:p>
    <w:p>
      <w:pPr>
        <w:ind w:left="0" w:right="0" w:firstLine="562"/>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19、投标文件的拒收</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19.1代理机构拒绝接收在其规定的投标截止时间后上传的任何投标文件。</w:t>
      </w:r>
      <w:r/>
    </w:p>
    <w:p>
      <w:pPr>
        <w:ind w:left="0" w:right="0" w:firstLine="562"/>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20、投标文件的撤回和修改</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20.1 投标文件的撤回</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20.1.1 电子投标文件的撤回</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投标供应商可在投标截止时间前，撤回其电子投标文件，具体操作方法见《操作手册》。</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20.1.2 投标供应商撤回电子投标文件，则认为其不再参与本项目投标活动。</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 投标文件的修改</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投标供应商可在投标截止时间前，对其电子投标文件进行修改，具体操作方法见《操作手册》。</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20.3 在投标截止时间之后，投标供应商不得对其电子投标文件作任何修改。</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20.4 在投标截止时间至招标文件中规定的投标有效期满之间的这段时间内，投标供应商不得撤回其投标。</w:t>
      </w:r>
      <w:r/>
    </w:p>
    <w:p>
      <w:pPr>
        <w:ind w:left="0" w:right="0" w:firstLine="562"/>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21、开标</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21.1 代理机构将在招标公告中规定的时间和地点组织公开开标。投标供应商应当按照《操作手册》规定，参加开标活动。投标供应商未参加开标的，视同认可开标结果。</w:t>
      </w:r>
      <w:r/>
    </w:p>
    <w:p>
      <w:pPr>
        <w:ind w:left="0" w:right="0" w:firstLine="42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b/>
          <w:color w:val="000000"/>
          <w:sz w:val="22"/>
        </w:rPr>
        <w:t xml:space="preserve">21.2开标仪式由代理机构组织。“政府采购管理交易系统（苏采云）”将自动对项目进行开标，并宣读各投标供应商的《开标一览表》。</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21.3投标供应商在开标过程中涉及到的投标文件解密、开标结果确认等工作，应按照《操作手册》规定执行。</w:t>
      </w:r>
      <w:r/>
    </w:p>
    <w:p>
      <w:pPr>
        <w:ind w:left="0" w:right="0" w:firstLine="562"/>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22、评标委员会</w:t>
      </w:r>
      <w:r/>
    </w:p>
    <w:p>
      <w:pPr>
        <w:ind w:left="0" w:right="0" w:firstLine="42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22.1 开标后，代理机构将立即组织评标委员会（以下简称评委会）进行评标。</w:t>
      </w:r>
      <w:r/>
    </w:p>
    <w:p>
      <w:pPr>
        <w:ind w:left="0" w:right="0" w:firstLine="42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22.2 评委会由采购人代表和有关技术、经济等方面的专家组成，且人员构成符合政府采购有关规定。</w:t>
      </w:r>
      <w:r/>
    </w:p>
    <w:p>
      <w:pPr>
        <w:ind w:left="0" w:right="0" w:firstLine="42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22.3评委会独立工作，负责评审所有投标文件并确定中标候选人。</w:t>
      </w:r>
      <w:r/>
    </w:p>
    <w:p>
      <w:pPr>
        <w:ind w:left="0" w:right="0" w:firstLine="562"/>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23、评标过程的保密与公正</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23.1公开开标后，直至签订合同之日止，凡是与审查、澄清、评价和比较投标的有关资料以及授标建议等，采购人、评委、代理机构工作人员均不得向投标供应商或与评标无关的其他人员透露。</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23.2在评标过程中，投标供应商不得以任何行为影响评标过程，否则其投标文件将被作为无效投标文件。</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23.3 在评标期间，代理机构将设专门工作人员与投标供应商联系。</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23.4 代理机构和评委会不向未中标的投标供应商解释未中标原因，也不公布评标过程中的相关细节。</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23.5 采用综合评分法的项目，未中标的投标供应商可于中标结果公告期限届满之日起通过“政府采购管理交易系统（苏采云）”查看自己的评审得分及排序情况。</w:t>
      </w:r>
      <w:r/>
    </w:p>
    <w:p>
      <w:pPr>
        <w:ind w:left="0" w:right="0" w:firstLine="562"/>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24、投标的澄清</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24.1评标期间，为有助于对投标文件的审查、评价和比较，评委会有权以电子函件形式要求投标供应商对其投标文件进行澄清，但并非对每个投标供应商都作澄清要求。</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24.2接到评委会澄清要求的投标供应商应派人按评委会规定的时间和格式在“政府采购管理交易系统（苏采云）”中做出澄清，澄清的内容作为投标文件的补充部分，但投标的价格和实质性的内容不得做任何更改。具体操作方式见《操作手册》。</w:t>
      </w:r>
      <w:r/>
    </w:p>
    <w:p>
      <w:pPr>
        <w:ind w:left="0" w:right="0" w:firstLine="42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24.3 接到评委会澄清要求的投标供应商如未按规定做出澄清，其风险由投标供应商自行承担。</w:t>
      </w:r>
      <w:r/>
    </w:p>
    <w:p>
      <w:pPr>
        <w:ind w:left="0" w:right="0" w:firstLine="562"/>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25、对投标文件的初审</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25.1投标文件初审分为资格审查和符合性审查。</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25.1.1资格审查：依据法律法规和招标文件的规定，由采购人对投标文件中的资格证明文件进行审查。并将审查结论以书面形式向评委会反馈。</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在进行资格性审查的同时，将在“信用中国”网站（www.creditchina.gov.cn）、“中国政府采购网"(www.ccgp.gov.cn)对投标供应商是否被列入失信被执行人、重大税收违法案件当事人名单、政府采购严重失信行为记录名单情况进行查询，以确定投标供应商是否具备投标资格。查询结果将以网页打印的形式留存并归档。</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25.1.2符合性检查：依据招标文件的规定，由评委会从投标文件的有效性、完整性和对招标文件的响应程度进行审查，以确定是否对招标文件的实质性要求作出响应。</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25.1.3 未通过资格审查或符合性审查的投标供应商，代理机构将在“政府采购管理交易系统（苏采云）”中告知未通过资格审查或符合性审查的原因，评审结束后，代理机构将不再告知未通过资格审查或符合性审查的原因。</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所谓重大偏离或保留是指与招标文件规定的实质性要求存在负偏离，或者在实质上与招标文件不一致，而且限制了合同中买方（采购人）和见证方（代理机构）的权利或投标供应商的义务，纠正这些偏离或保留将会对其他实质性响应要求的投标供应商的竞争地位产生不公正的影响。是否属于重大偏离由评委会按照少数服从多数的原则作出结论。评委决定投标文件的响应性只根据投标文件本身的内容，而不寻求外部的证据。</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25.3如果投标文件实质上没有响应招标文件的要求，评委会将予以拒绝，投标供应商不得通过修改或撤销不合要求的偏离或保留而使其投标成为实质性响应的投标。</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25.4评委会将对确定为实质性响应的投标进行进一步审核，看其是否有计算上或累加上的算术错误，修正错误的原则如下：</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（1）投标文件中开标一览表内容与投标文件中相应内容不一致的，以开标一览表为准。</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（2）大写金额与小写金额不一致的，以大写金额为准。</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（3）单价金额小数点或者百分比有明显错位的，以开标一览表的总价为准，并修改单价。</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（4）总价金额与按单价汇总金额不一致的，以单价金额计算结果为准。</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同时出现两种以上错误的，按照前款规定的顺序修正。</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25.5评委会将按上述修正错误的方法调整投标文件中的投标报价，并通过“政府采购管理交易系统（苏采云）”告知投标供应商，调整后的价格应对投标供应商具有约束力。如果投标供应商不接受修正后的价格，则其投标将被拒绝。</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25.6评委会将允许修正投标文件中不构成重大偏离的、微小的、非正规的、不一致的或不规则的地方，但这些修改不能影响任何投标供应商相应的名次排列。</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25.7采用最低评标价法的采购项目，提供相同品牌产品的不同投标供应商参加同一合同项下投标的，以其中通过资格审查、符合性审查且报价最低的参加评标；报价相同的，由评委会按照招标文件规定的方式确定，招标文件未规定的通过随机抽取的方式确定一个参加评标的投标供应商，其他投标无效。</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使用综合评分法的采购项目，提供相同品牌产品且通过资格审查、符合性审查的不同投标供应商参加同一合同项下投标的，按一家投标供应商计算，评审后得分最高的同品牌投标供应商获得中标供应商推荐资格；评审得分相同的，由评委会根据招标文件规定的方式确定，招标文件未规定的采取随机抽取的方式确定一个中标候选人，其他同品牌投标供应商不作为中标候选人。</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非单一产品采购项目，招标文件中将载明其中的核心产品。多家投标供应商提供的核心产品品牌相同的，按前两款规定处理。</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25.8 投标供应商在开、评标全过程中应保持通讯畅通，并安排专人与代理机构及评委会联系。</w:t>
      </w:r>
      <w:r/>
    </w:p>
    <w:p>
      <w:pPr>
        <w:ind w:left="0" w:right="0" w:firstLine="562"/>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26、无效投标、废标及投标供应商不足三家的处理</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26.1无效投标条款</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26.1.1 投标供应商未成功解密电子投标文件的。</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26.1.2 投标供应商未按照招标文件要求上传电子投标文件的。</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26.1.3投标供应商在报价时采用选择性报价的。</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26.1.4投标供应商不具备招标文件中规定资格要求的。</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26.1.5投标供应商的报价超过了采购预算或最高限价的。</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26.1.6未通过符合性审查的。</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26.1.7不符合招标文件中规定的其他实质性要求和条件的（</w:t>
      </w:r>
      <w:r>
        <w:rPr>
          <w:rFonts w:ascii="SimSun" w:hAnsi="SimSun" w:eastAsia="SimSun" w:cs="SimSun"/>
          <w:i/>
          <w:color w:val="000000"/>
          <w:sz w:val="22"/>
          <w:u w:val="single"/>
        </w:rPr>
        <w:t xml:space="preserve">本招标文件中斜体且有下划线部分为实质性要求和条件</w:t>
      </w:r>
      <w:r>
        <w:rPr>
          <w:rFonts w:ascii="SimSun" w:hAnsi="SimSun" w:eastAsia="SimSun" w:cs="SimSun"/>
          <w:color w:val="000000"/>
          <w:sz w:val="22"/>
        </w:rPr>
        <w:t xml:space="preserve">）。</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26.1.8 投标供应商被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26.1.9  投标文件含有采购人不能接受的附加条件的。</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26.1.10 评委会认为投标供应商的报价明显低于其他通过符合性审查投标供应商的报价，有可能影响产品质量或者不能诚信履约的，将通过“政府采购管理交易系统（苏采云）”要求其在合理的时间内提供说明，必要时提交相关证明材料；投标供应商不能证明其报价合理性的，评委会应当将其作为无效投标处理。</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26.1.11 本项目采购产品被财政部、国家发改委、生态环境部等列入“节能产品品目清单”、“环境标志产品品目清单”强制采购范围，而投标供应商所投标产品不在强制采购范围内的。</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26.1.12 投标文件未按照招标文件要求加盖电子签章。</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26.1.13其他法律、法规及本招标文件规定的属无效投标的情形。</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26.2废标条款：</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26.2.1符合专业条件的供应商或者对招标文件作实质响应的供应商不足三家的。26.2.2出现影响采购公正的违法、违规行为的。</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26.2.3因重大变故，采购任务取消的。</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26.2.4评委会认定招标文件存在歧义、重大缺陷导致评审工作无法进行。</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26.3 投标截止时间结束后参加投标的供应商不足三家的处理：</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26.3.1如出现投标截止时间结束后参加投标的供应商或者在评标期间对招标文件做出实质性响应的供应商不足三家情况，按政府采购相关规定执行。</w:t>
      </w:r>
      <w:r/>
    </w:p>
    <w:p>
      <w:pPr>
        <w:ind w:left="0" w:right="0" w:firstLine="562"/>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27、确定中标单位</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27.1评委会根据本招标文件规定评标方法与评标标准向采购人推荐出中标候选人。</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27.2 采购人应根据评委会推荐的中标候选人确定中标供应商。</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27.3代理机构将在“中国政府采购网”、“江苏省政府采购网”、“扬州市政府采购网”发布中标公告，公告期限为1个工作日。</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27.4若有充分证据证明，中标供应商出现下列情况之一的，一经查实，将被取消中标资格：</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27.4.1提供虚假材料谋取中标的；</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27.4.2向采购人、代理机构行贿或者提供其他不正当利益的；</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27.4.3恶意竞争，投标总报价明显低于其自身合理成本且又无法提供证明的；</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27.4.4属于本文件规定的无效条件，但在评标过程中又未被评委会发现的；</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27.4.5与采购人或者其他投标供应商恶意串通的；</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27.4.6采取不正当手段诋毁、排挤其他供应商的；</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27.4.7不符合法律、法规的规定的。</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27.5. 有下列情形之一的，视为投标供应商串通投标，投标无效：</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27.5.1不同投标供应商的投标文件由同一单位或者个人编制。</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27.5.2不同投标供应商委托同一单位或者个人办理投标事宜。</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27.5.3 不同投标供应商的投标文件载明的项目管理成员或者联系人员为同一人。</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27.5.4不同投标供应商的投标文件异常一致或者投标报价呈规律性差异。</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27.5.5不同投标供应商的投标文件相互混装。</w:t>
      </w:r>
      <w:r/>
    </w:p>
    <w:p>
      <w:pPr>
        <w:ind w:left="0" w:right="0" w:firstLine="562"/>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28、质疑处理</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28.1提出质疑的供应商应当是参与所质疑项目采购活动的供应商。潜在供应商依法获取其可质疑的采购文件的，可以对采购文件提出质疑。</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对项目需求部分的质疑，潜在供应商应向采购人提出，由采购人负责答复。</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28.2投标供应商认为采购文件、采购过程和中标或成交结果使自己的权益受到损害的，可以在知道或应知其权益受到损害之日起7个工作日内，以书面形式向采购人或代理机构提出质疑。</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28.2.1对采购文件提出质疑的，应当在获取采购文件之日或者采购文件公告期限届满之日起7个工作日内提出。</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28.2.2对采购过程提出质疑的，为各采购程序环节结束之日起7个工作日内提出。</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28.2.3对中标结果提出质疑的，为中标结果公告期限届满之日起7个工作日内提出。</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28.5 代理机构及采购人只接收以纸质原件形式送达的质疑。</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采购人质疑接收人及联系方式见招标文件第一章。</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28.6代理机构收到质疑申请后，将对质疑的形式和内容进行审查，如质疑内容、格式不符合规定，代理机构将告知质疑人进行补正。</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28.7质疑人应当在法定质疑期限内进行补正并重新提交质疑函。</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28.8 以下情形的质疑不予受理</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28.8.1 内容不符合《政府采购质疑和投诉办法》第十二条规定的质疑。</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28.8.2 超出政府采购法定期限的质疑。</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28.8.3 以传真、电子邮件等方式递交的非原件形式的质疑。</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28.8.4 未参加投标活动的供应商或在投标活动中自身权益未受到损害的供应商所提出的质疑。</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28.8.5供应商组成联合体参加投标，联合体中任何一方或多方未按要求签字、盖章、加盖公章的质疑。</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28.10代理机构应当在收到供应商的书面质疑后7个工作日内作出答复，并以书面形式通知质疑供应商和其他有关供应商，但答复的内容不得涉及商业秘密。</w:t>
      </w:r>
      <w:r/>
    </w:p>
    <w:p>
      <w:pPr>
        <w:ind w:left="0" w:right="0" w:firstLine="562"/>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29、中标通知书</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29.l 中标结果确定后，代理机构将向中标供应商发出中标通知书。</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29.2 中标供应商可在“政府采购管理交易系统（苏采云）”中标通知书下载模块中自行下载中标通知书。</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29.3中标通知书将是合同的一个组成部分。对采购人和中标供应商均具有法律效力。中标通知书发出后，采购人改变中标结果的，或者中标供应商放弃中标项目的，应当依法承担法律责任。</w:t>
      </w:r>
      <w:r/>
    </w:p>
    <w:p>
      <w:pPr>
        <w:ind w:left="0" w:right="0" w:firstLine="562"/>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30、 签订合同</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30.l中标供应商应在中标通知书发出之日起三十日内，按照招标文件确定的事项与采购人签订政府采购合同。</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30.2 招标文件、中标供应商的投标文件及招标过程中有关澄清、承诺文件均应作为合同附件。</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30.3 合同在“政府采购管理交易系统（苏采云）”中签订，签订合同后，</w:t>
      </w:r>
      <w:r>
        <w:rPr>
          <w:rFonts w:ascii="SimSun" w:hAnsi="SimSun" w:eastAsia="SimSun" w:cs="SimSun"/>
          <w:i/>
          <w:color w:val="000000"/>
          <w:sz w:val="22"/>
          <w:u w:val="single"/>
        </w:rPr>
        <w:t xml:space="preserve">中标供应商不得将货物或服务及其他服务进行转包</w:t>
      </w:r>
      <w:r>
        <w:rPr>
          <w:rFonts w:ascii="SimSun" w:hAnsi="SimSun" w:eastAsia="SimSun" w:cs="SimSun"/>
          <w:color w:val="000000"/>
          <w:sz w:val="22"/>
        </w:rPr>
        <w:t xml:space="preserve">。未经采购人同意，中标供应商也不得采用分包的形式履行合同，否则采购人有权终止合同。转包或分包造成采购人损失的，中标供应商应承担赔偿责任。</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30.4采购人不得向中标供应商提出任何不合理的要求作为签订合同的条件，不得与中标供应商私下订立背离合同实质性内容的协议。所签订的合同不得对招标文件确定事项和中标供应商投标文件作实质性修改。</w:t>
      </w:r>
      <w:r/>
    </w:p>
    <w:p>
      <w:pPr>
        <w:ind w:left="0" w:right="0" w:firstLine="562"/>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31、电子投标文件要求</w:t>
      </w:r>
      <w:r/>
    </w:p>
    <w:p>
      <w:pPr>
        <w:ind w:left="0" w:right="0" w:firstLine="562"/>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31.1政府采购管理交易系统（苏采云）相关要求是本招标文件的组成部分。</w:t>
      </w:r>
      <w:r/>
    </w:p>
    <w:p>
      <w:pPr>
        <w:ind w:left="0" w:right="0" w:firstLine="562"/>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31.2投标供应商应对CA 证书妥善保管，如被他人盗用投标，因此带来的结果均由投标供应商自行承担。</w:t>
      </w:r>
      <w:r/>
    </w:p>
    <w:p>
      <w:pPr>
        <w:ind w:left="0" w:right="0" w:firstLine="562"/>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31.3投标供应商应当对招标文件提出的要求和条件作出实质性响应，并在电子投标系统逐条应答。</w:t>
      </w:r>
      <w:r/>
    </w:p>
    <w:p>
      <w:pPr>
        <w:ind w:left="0" w:right="0" w:firstLine="562"/>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31.4投标供应商应对要求提供的资格证明文件（如资质证书、资格证书）、技术资料（如白皮书、彩页、手册、检测报告等）扫描上传至投标系统。</w:t>
      </w:r>
      <w:r/>
    </w:p>
    <w:p>
      <w:pPr>
        <w:numPr>
          <w:ilvl w:val="0"/>
          <w:numId w:val="1"/>
        </w:numPr>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提交投标文件的截止时间（投标截止时间）</w:t>
      </w:r>
      <w:r/>
    </w:p>
    <w:p>
      <w:pPr>
        <w:ind w:left="0" w:right="0" w:firstLine="562"/>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32.1投标供应商应当在招标文件要求提交投标文件的截止时间前，将投标文件提交至“苏采云”系统，逾期提交的投标文件，“苏采云”系统将自动拒收。</w:t>
      </w:r>
      <w:r/>
    </w:p>
    <w:p>
      <w:pPr>
        <w:ind w:left="0" w:right="0" w:firstLine="562"/>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32.2各投标供应商应在规定时间内凭CA证书进行网上解密。</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33、其他</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33.1 依据《政府采购促进中小企业发展管理办法》享受享受扶持政策获得政府采购合同的，小微企业不得将合同分包给大中型企业，中型企业不得将合同分包给大型企业。</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br w:type="page" w:clear="all"/>
      </w:r>
      <w:r/>
    </w:p>
    <w:p>
      <w:pPr>
        <w:pStyle w:val="648"/>
        <w:ind w:left="0" w:right="0" w:firstLine="723"/>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 合同条款及格式</w:t>
      </w:r>
      <w:r/>
    </w:p>
    <w:p>
      <w:pPr>
        <w:ind w:left="0" w:right="0" w:firstLine="560"/>
        <w:jc w:val="both"/>
        <w:spacing w:before="220" w:after="156"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以下为成交后签订本项目合同的通用条款，中标供应商不得提出实质性的修改，关于专用条款将由采购人与中标供应商结合本项目具体情况协商后签订。</w:t>
      </w:r>
      <w:r/>
    </w:p>
    <w:p>
      <w:pPr>
        <w:ind w:left="0" w:right="0" w:firstLine="562"/>
        <w:jc w:val="center"/>
        <w:spacing w:before="156" w:after="156"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政府采购合同（货物）</w:t>
      </w:r>
      <w:r/>
    </w:p>
    <w:p>
      <w:pPr>
        <w:ind w:left="0" w:right="0" w:firstLine="44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项目名称：江苏省扬州技师学院智能交通实训室建设项目</w:t>
      </w:r>
      <w:r/>
    </w:p>
    <w:p>
      <w:pPr>
        <w:ind w:left="0" w:right="0" w:firstLine="44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编号：JSZC-321000-NJJD-G2025-0026 </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甲方：（买方）</w:t>
      </w:r>
      <w:r>
        <w:rPr>
          <w:rFonts w:ascii="SimSun" w:hAnsi="SimSun" w:eastAsia="SimSun" w:cs="SimSun"/>
          <w:color w:val="000000"/>
          <w:sz w:val="22"/>
          <w:u w:val="single"/>
        </w:rPr>
        <w:t xml:space="preserve"> </w:t>
      </w:r>
      <w:r>
        <w:rPr>
          <w:rFonts w:ascii="SimSun" w:hAnsi="SimSun" w:eastAsia="SimSun" w:cs="SimSun"/>
          <w:color w:val="000000"/>
          <w:sz w:val="22"/>
        </w:rPr>
        <w:t xml:space="preserve">_________</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乙方：（卖方）</w:t>
      </w:r>
      <w:r>
        <w:rPr>
          <w:rFonts w:ascii="SimSun" w:hAnsi="SimSun" w:eastAsia="SimSun" w:cs="SimSun"/>
          <w:color w:val="000000"/>
          <w:sz w:val="22"/>
          <w:u w:val="none"/>
        </w:rPr>
        <w:t xml:space="preserve">_________</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见证方：</w:t>
      </w:r>
      <w:r>
        <w:rPr>
          <w:rFonts w:ascii="Arial" w:hAnsi="Arial" w:eastAsia="Arial" w:cs="Arial"/>
          <w:color w:val="000000"/>
          <w:sz w:val="22"/>
        </w:rPr>
        <w:t xml:space="preserve"> </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甲、乙双方根据</w:t>
      </w:r>
      <w:r>
        <w:rPr>
          <w:rFonts w:ascii="SimSun" w:hAnsi="SimSun" w:eastAsia="SimSun" w:cs="SimSun"/>
          <w:color w:val="000000"/>
          <w:sz w:val="21"/>
          <w:u w:val="single"/>
        </w:rPr>
        <w:t xml:space="preserve">         </w:t>
      </w:r>
      <w:r>
        <w:rPr>
          <w:rFonts w:ascii="SimSun" w:hAnsi="SimSun" w:eastAsia="SimSun" w:cs="SimSun"/>
          <w:color w:val="000000"/>
          <w:sz w:val="22"/>
        </w:rPr>
        <w:t xml:space="preserve">项目公开招标的结果，签署本合同。</w:t>
      </w:r>
      <w:r/>
    </w:p>
    <w:p>
      <w:pPr>
        <w:ind w:left="0" w:right="0" w:firstLine="422"/>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一、货物及伴随服务</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 货物及服务名称：</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型号规格：</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数量（单位）</w:t>
      </w:r>
      <w:r/>
    </w:p>
    <w:p>
      <w:pPr>
        <w:ind w:left="0" w:right="0" w:firstLine="422"/>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二、合同金额</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 本合同金额为：人民币</w:t>
      </w:r>
      <w:r>
        <w:rPr>
          <w:rFonts w:ascii="SimSun" w:hAnsi="SimSun" w:eastAsia="SimSun" w:cs="SimSun"/>
          <w:color w:val="000000"/>
          <w:sz w:val="21"/>
          <w:u w:val="single"/>
        </w:rPr>
        <w:t xml:space="preserve">     </w:t>
      </w:r>
      <w:r>
        <w:rPr>
          <w:rFonts w:ascii="SimSun" w:hAnsi="SimSun" w:eastAsia="SimSun" w:cs="SimSun"/>
          <w:color w:val="000000"/>
          <w:sz w:val="22"/>
        </w:rPr>
        <w:t xml:space="preserve">（¥</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422"/>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三、技术资料</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3.1乙方应按招标文件规定的时间向甲方提供使用货物及服务的有关技术资料。</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right="0" w:firstLine="422"/>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四、知识产权</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4.1乙方应保证甲方在使用、接受本合同货物及服务或其任何一部分时不受第三方提出侵犯其专利权、版权、商标权和工业设计权等知识产权的起诉。一旦出现侵权，由乙方负全部责任。</w:t>
      </w:r>
      <w:r/>
    </w:p>
    <w:p>
      <w:pPr>
        <w:ind w:left="0" w:right="0" w:firstLine="422"/>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五、产权担保</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 乙方保证所交付的货物及服务的所有权完全属于乙方且无任何抵押、查封等产权瑕疵。</w:t>
      </w:r>
      <w:r/>
    </w:p>
    <w:p>
      <w:pPr>
        <w:ind w:left="0" w:right="0" w:firstLine="422"/>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六、履约保证金</w:t>
      </w:r>
      <w:r/>
    </w:p>
    <w:p>
      <w:pPr>
        <w:ind w:left="0" w:right="0" w:firstLine="528"/>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本项目履约保证金收取：无</w:t>
      </w:r>
      <w:r/>
    </w:p>
    <w:p>
      <w:pPr>
        <w:ind w:left="0" w:right="0" w:firstLine="422"/>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七、转包或分包</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7.1本合同范围的货物及服务，应由乙方直接供应，不得转让他人供应；</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7.2 除非得到甲方的书面同意，乙方不得部分分包给他人供应。</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7.3如有转让和未经甲方同意的分包行为，甲方有权给予终止合同。</w:t>
      </w:r>
      <w:r/>
    </w:p>
    <w:p>
      <w:pPr>
        <w:ind w:left="0" w:right="0" w:firstLine="422"/>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八、质保期</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8.1 质保期</w:t>
      </w:r>
      <w:r>
        <w:rPr>
          <w:rFonts w:ascii="SimSun" w:hAnsi="SimSun" w:eastAsia="SimSun" w:cs="SimSun"/>
          <w:color w:val="000000"/>
          <w:sz w:val="21"/>
          <w:u w:val="single"/>
        </w:rPr>
        <w:t xml:space="preserve">      </w:t>
      </w:r>
      <w:r>
        <w:rPr>
          <w:rFonts w:ascii="SimSun" w:hAnsi="SimSun" w:eastAsia="SimSun" w:cs="SimSun"/>
          <w:color w:val="000000"/>
          <w:sz w:val="22"/>
        </w:rPr>
        <w:t xml:space="preserve">年。（自交货验收合格之日起计）</w:t>
      </w:r>
      <w:r/>
    </w:p>
    <w:p>
      <w:pPr>
        <w:ind w:left="0" w:right="0" w:firstLine="422"/>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九、交付期、交付方式及交付地点</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9.1 交付期：</w:t>
      </w:r>
      <w:r>
        <w:rPr>
          <w:rFonts w:ascii="SimSun" w:hAnsi="SimSun" w:eastAsia="SimSun" w:cs="SimSun"/>
          <w:color w:val="000000"/>
          <w:sz w:val="22"/>
          <w:u w:val="single"/>
        </w:rPr>
        <w:t xml:space="preserve">合同签订之日起30日历天内完成项目所有内容，并经采购人验收合格，正常投入使用。</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9.2 交付方式：</w:t>
      </w:r>
      <w:r>
        <w:rPr>
          <w:rFonts w:ascii="SimSun" w:hAnsi="SimSun" w:eastAsia="SimSun" w:cs="SimSun"/>
          <w:color w:val="000000"/>
          <w:sz w:val="22"/>
          <w:u w:val="single"/>
        </w:rPr>
        <w:t xml:space="preserve">现货交付</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9.3 交付地点：</w:t>
      </w:r>
      <w:r>
        <w:rPr>
          <w:rFonts w:ascii="SimSun" w:hAnsi="SimSun" w:eastAsia="SimSun" w:cs="SimSun"/>
          <w:color w:val="000000"/>
          <w:sz w:val="22"/>
          <w:u w:val="single"/>
        </w:rPr>
        <w:t xml:space="preserve">甲方指定地点</w:t>
      </w:r>
      <w:r/>
    </w:p>
    <w:p>
      <w:pPr>
        <w:ind w:left="0" w:right="0" w:firstLine="422"/>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十、货款支付</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10.1 本合同项下所有款项均以人民币支付。 </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10.2 本合同项下的采购资金由甲方支付，付款前乙方向甲方开具发票。</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10.3 甲方付款方式：</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签订后，乙方向甲方出具发票，甲方自收到发票之日起10个工作日内支付合同总价30%的预付款；项目所有内容完成，并经采购人验收合格，正常投入使用后，乙方向甲方出具发票，甲方自收到发票之日起10个工作日内支付货款。</w:t>
      </w:r>
      <w:r/>
    </w:p>
    <w:p>
      <w:pPr>
        <w:ind w:left="0" w:right="0" w:firstLine="422"/>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十一、税费</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11.1本合同执行中相关的一切税费均由乙方负担。</w:t>
      </w:r>
      <w:r/>
    </w:p>
    <w:p>
      <w:pPr>
        <w:ind w:left="0" w:right="0" w:firstLine="422"/>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十二、质量保证及售后服务</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12.1 乙方应按招标文件规定的货物及服务性能、技术要求、质量标准向甲方提供。</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12.2 乙方提供的货物及服务在质量期内因服务及产品本身的质量问题发生故障，乙方应负责免费更换。对达不到技术要求者，根据实际情况，经双方协商，可按以下办法处理：</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⑴更换：由乙方承担所发生的全部费用。</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⑵贬值处理：由甲乙双方合议定价。</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⑶退还处理：乙方应退还甲方支付的合同款，同时应承担该货物及服务的直接费用（运输、保险、检验、款项利息及银行手续费等）。</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12.3 如在使用过程中发生质量问题，乙方在接到甲方通知后在______小时内到达甲方现场。</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12.4 在质保期内，乙方应对货物及服务出现的质量及安全问题负责处理解决并承担一切费用。</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12.5上述的货物及服务免费保修期为 </w:t>
      </w:r>
      <w:r>
        <w:rPr>
          <w:rFonts w:ascii="SimSun" w:hAnsi="SimSun" w:eastAsia="SimSun" w:cs="SimSun"/>
          <w:color w:val="000000"/>
          <w:sz w:val="21"/>
          <w:u w:val="single"/>
        </w:rPr>
        <w:t xml:space="preserve">      </w:t>
      </w:r>
      <w:r>
        <w:rPr>
          <w:rFonts w:ascii="SimSun" w:hAnsi="SimSun" w:eastAsia="SimSun" w:cs="SimSun"/>
          <w:color w:val="000000"/>
          <w:sz w:val="22"/>
        </w:rPr>
        <w:t xml:space="preserve">年，因人为因素出现的故障不在免费保修范围内。超过保修期的机器设备，终生维修，维修时只收部件成本费。</w:t>
      </w:r>
      <w:r/>
    </w:p>
    <w:p>
      <w:pPr>
        <w:ind w:left="0" w:right="0" w:firstLine="422"/>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十三、调试和验收</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13.1 甲方对乙方提交的货物及服务依据招标文件上的技术规格要求和国家有关质量标准进行现场初步验收，外观、说明书符合招标文件技术要求的，给予签收，初步验收不合格的不予签收。交付后，甲方需在五个工作日内验收。</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13.2 乙方交付前应对货物及服务作出全面检查和对验收文件进行整理，并列出清单，作为甲方交付验收和使用的技术条件依据，检验的结果应随货物及服务交甲方。</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13.3 甲方对乙方提供的货物及服务在使用前进行调试时，乙方需负责安装并培训甲方的使用操作人员，并协助甲方一起调试，直到符合技术要求，甲方才做最终验收。</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13.4 对技术复杂的货物及服务，甲方可请国家认可的专业检测机构参与初步验收及最终验收，并由其出具质量检测报告。</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13.5 验收时乙方必须在现场，验收完毕后作出验收结果报告；验收费用由甲乙双方协商解决。</w:t>
      </w:r>
      <w:r/>
    </w:p>
    <w:p>
      <w:pPr>
        <w:ind w:left="0" w:right="0" w:firstLine="422"/>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十四、货物及服务包装、发运及运输</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14.1 乙方应在货物及服务发运前对其进行满足运输距离、防潮、防震、防锈和防破损装卸等要求包装，以保证货物及服务安全运达甲方指定地点。</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14.2 使用说明书、质量检验证明书、随配附件和工具以及清单一并交付甲方。</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14.3 乙方在货物及服务发运手续办理完毕后24小时内或交付到甲方48小时前通知甲方，以准备接受交付。</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14.4 货物在交付甲方前发生的风险均由乙方负责。</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14.5 货物及服务在规定的交付期限内由乙方送达甲方指定的地点视为交付，乙方同时需通知甲方货物及服务已送达。</w:t>
      </w:r>
      <w:r/>
    </w:p>
    <w:p>
      <w:pPr>
        <w:ind w:left="0" w:right="0" w:firstLine="422"/>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十五、违约责任</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15.1 甲方无正当理由拒收货物及服务的，甲方向乙方偿付拒收款项总值的百分之五违约金。</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15.2 甲方无故逾期验收和办理款项支付手续的,甲方应按逾期付款总额每日万分之五向乙方支付违约金。</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p>
    <w:p>
      <w:pPr>
        <w:ind w:left="0" w:right="0" w:firstLine="422"/>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十六、不可抗力事件处理</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16.1 在合同有效期内，任何一方因不可抗力事件导致不能履行合同，则合同履行期可延长，其延长期与不可抗力影响期相同。</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16.2 不可抗力事件发生后，应立即通知对方，并寄送有关权威机构出具的证明。</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16.3 不可抗力事件延续120天以上，双方应通过友好协商，确定是否继续履行合同。</w:t>
      </w:r>
      <w:r/>
    </w:p>
    <w:p>
      <w:pPr>
        <w:ind w:left="0" w:right="0" w:firstLine="422"/>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十七、诉讼</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17.1 双方在执行合同中所发生的一切争议，应通过协商解决。如协商不成，可向合同签订地法院起诉，合同签订地在此约定为扬州市。</w:t>
      </w:r>
      <w:r/>
    </w:p>
    <w:p>
      <w:pPr>
        <w:ind w:left="0" w:right="0" w:firstLine="422"/>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十八、</w:t>
      </w:r>
      <w:r>
        <w:rPr>
          <w:rFonts w:ascii="SimSun" w:hAnsi="SimSun" w:eastAsia="SimSun" w:cs="SimSun"/>
          <w:color w:val="000000"/>
          <w:sz w:val="22"/>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r/>
    </w:p>
    <w:p>
      <w:pPr>
        <w:ind w:left="0" w:right="0" w:firstLine="422"/>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十九、合同生效及其它</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19.1 合同经双方法定代表人签章并加盖单位公章，并经南京金鼎工程造价评估有限责任公司扬州分公司见证盖章后生效。</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19.2本合同未尽事宜，遵照《民法典》有关条文执行。</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19.3 本合同正本一式四份，具有同等法律效力，甲方、乙方、见证方及财政监管部门（扬州市财政局政府采购管理处）各执一份。 </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592"/>
        <w:gridCol w:w="4447"/>
      </w:tblGrid>
      <w:tr>
        <w:trPr>
          <w:trHeight w:val="5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92" w:type="dxa"/>
            <w:vAlign w:val="top"/>
            <w:textDirection w:val="lrTb"/>
            <w:noWrap/>
          </w:tcPr>
          <w:p>
            <w:pPr>
              <w:ind w:left="0" w:right="0" w:firstLine="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甲方：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47" w:type="dxa"/>
            <w:vAlign w:val="top"/>
            <w:textDirection w:val="lrTb"/>
            <w:noWrap/>
          </w:tcPr>
          <w:p>
            <w:pPr>
              <w:ind w:left="0" w:right="0" w:firstLine="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w:t>
            </w:r>
            <w:r/>
          </w:p>
        </w:tc>
      </w:tr>
      <w:tr>
        <w:trPr>
          <w:trHeight w:val="5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92" w:type="dxa"/>
            <w:vAlign w:val="top"/>
            <w:textDirection w:val="lrTb"/>
            <w:noWrap/>
          </w:tcPr>
          <w:p>
            <w:pPr>
              <w:ind w:left="0" w:right="0" w:firstLine="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47" w:type="dxa"/>
            <w:vAlign w:val="top"/>
            <w:textDirection w:val="lrTb"/>
            <w:noWrap/>
          </w:tcPr>
          <w:p>
            <w:pPr>
              <w:ind w:left="0" w:right="0" w:firstLine="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w:t>
            </w:r>
            <w:r/>
          </w:p>
        </w:tc>
      </w:tr>
      <w:tr>
        <w:trPr>
          <w:trHeight w:val="5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92" w:type="dxa"/>
            <w:vAlign w:val="top"/>
            <w:textDirection w:val="lrTb"/>
            <w:noWrap/>
          </w:tcPr>
          <w:p>
            <w:pPr>
              <w:ind w:left="0" w:right="0" w:firstLine="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法定代表人或授权代表：</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47" w:type="dxa"/>
            <w:vAlign w:val="top"/>
            <w:textDirection w:val="lrTb"/>
            <w:noWrap/>
          </w:tcPr>
          <w:p>
            <w:pPr>
              <w:ind w:left="0" w:right="0" w:firstLine="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法定代表人或授权代表：</w:t>
            </w:r>
            <w:r/>
          </w:p>
        </w:tc>
      </w:tr>
      <w:tr>
        <w:trPr>
          <w:trHeight w:val="5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92" w:type="dxa"/>
            <w:vAlign w:val="top"/>
            <w:textDirection w:val="lrTb"/>
            <w:noWrap/>
          </w:tcPr>
          <w:p>
            <w:pPr>
              <w:ind w:left="0" w:right="0" w:firstLine="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47" w:type="dxa"/>
            <w:vAlign w:val="top"/>
            <w:textDirection w:val="lrTb"/>
            <w:noWrap/>
          </w:tcPr>
          <w:p>
            <w:pPr>
              <w:ind w:left="0" w:right="0" w:firstLine="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w:t>
            </w:r>
            <w:r/>
          </w:p>
        </w:tc>
      </w:tr>
      <w:tr>
        <w:trPr>
          <w:trHeight w:val="80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92" w:type="dxa"/>
            <w:vAlign w:val="top"/>
            <w:textDirection w:val="lrTb"/>
            <w:noWrap/>
          </w:tcPr>
          <w:p>
            <w:pPr>
              <w:ind w:left="0" w:right="0" w:firstLine="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    年   月   日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47" w:type="dxa"/>
            <w:vAlign w:val="top"/>
            <w:textDirection w:val="lrTb"/>
            <w:noWrap/>
          </w:tcPr>
          <w:p>
            <w:pPr>
              <w:ind w:left="0" w:right="0" w:firstLine="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     年   月   日</w:t>
            </w:r>
            <w:r/>
          </w:p>
        </w:tc>
      </w:tr>
    </w:tbl>
    <w:p>
      <w:pPr>
        <w:ind w:left="0" w:right="0" w:firstLine="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见证方： </w:t>
      </w:r>
      <w:r/>
    </w:p>
    <w:p>
      <w:pPr>
        <w:ind w:left="0" w:right="0" w:firstLine="21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项目经办人： </w:t>
      </w:r>
      <w:r/>
    </w:p>
    <w:p>
      <w:pPr>
        <w:ind w:left="0" w:right="0" w:firstLine="21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br w:type="page" w:clear="all"/>
      </w:r>
      <w:r/>
    </w:p>
    <w:p>
      <w:pPr>
        <w:pStyle w:val="648"/>
        <w:ind w:left="0" w:right="0" w:firstLine="723"/>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 项目需求</w:t>
      </w:r>
      <w:r/>
    </w:p>
    <w:p>
      <w:pPr>
        <w:ind w:left="0" w:right="0" w:firstLine="440"/>
        <w:jc w:val="both"/>
        <w:spacing w:before="22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项目属性：货物类项目。</w:t>
      </w:r>
      <w:r/>
    </w:p>
    <w:p>
      <w:pPr>
        <w:ind w:left="0" w:right="0" w:firstLine="440"/>
        <w:spacing w:before="22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其他要求</w:t>
      </w:r>
      <w:r/>
    </w:p>
    <w:p>
      <w:pPr>
        <w:ind w:left="0" w:right="0" w:firstLine="440"/>
        <w:spacing w:before="22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w:t>
      </w:r>
      <w:r>
        <w:rPr>
          <w:rFonts w:ascii="SimSun" w:hAnsi="SimSun" w:eastAsia="SimSun" w:cs="SimSun"/>
          <w:color w:val="000000"/>
          <w:sz w:val="22"/>
        </w:rPr>
        <w:t xml:space="preserve">采购节能产品、环境标志产品。</w:t>
      </w:r>
      <w:r/>
    </w:p>
    <w:p>
      <w:pPr>
        <w:ind w:left="0" w:right="0" w:firstLine="440"/>
        <w:spacing w:before="22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供应商对于投标产品的包装应按照“财办库〔2020〕123号《关于印发《商品包装政府采购需求标准（试行）》、《快递包装政府采购需求标准（试行）》的通知》”执行。</w:t>
      </w:r>
      <w:r/>
    </w:p>
    <w:p>
      <w:pPr>
        <w:ind w:left="0" w:right="0" w:firstLine="442"/>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采购标的对应的中小企业划分标准所属行业一览表</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19"/>
        <w:gridCol w:w="4109"/>
        <w:gridCol w:w="3653"/>
      </w:tblGrid>
      <w:tr>
        <w:trPr>
          <w:trHeight w:val="52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09"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53"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对应中小企业划分标准所属行业</w:t>
            </w:r>
            <w:r/>
          </w:p>
        </w:tc>
      </w:tr>
      <w:tr>
        <w:trPr>
          <w:trHeight w:val="7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09"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江苏省扬州技师学院智能交通实训室建设项目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53"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工业</w:t>
            </w:r>
            <w:r/>
          </w:p>
        </w:tc>
      </w:tr>
    </w:tbl>
    <w:p>
      <w:pPr>
        <w:ind w:left="0" w:right="0" w:firstLine="422"/>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2"/>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一、项目概况:</w:t>
      </w:r>
      <w:r/>
    </w:p>
    <w:p>
      <w:pPr>
        <w:ind w:left="0" w:right="0" w:firstLine="56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1、项目名称：江苏省扬州技师学院智能交通实训室建设项目  </w:t>
      </w:r>
      <w:r/>
    </w:p>
    <w:p>
      <w:pPr>
        <w:ind w:left="0" w:right="0" w:firstLine="56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2、最高限价：人民币99.3万元，</w:t>
      </w:r>
      <w:r>
        <w:rPr>
          <w:rFonts w:ascii="SimSun" w:hAnsi="SimSun" w:eastAsia="SimSun" w:cs="SimSun"/>
          <w:b/>
          <w:color w:val="000000"/>
          <w:sz w:val="22"/>
        </w:rPr>
        <w:t xml:space="preserve">投标报价超过最高限价的作无效投标处理。</w:t>
      </w:r>
      <w:r/>
    </w:p>
    <w:p>
      <w:pPr>
        <w:ind w:left="0" w:right="0" w:firstLine="56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3、合同履行期限：合同签订之日起30日历天内完成项目所有内容，并经采购人验收合格，正常投入使用。</w:t>
      </w:r>
      <w:r/>
    </w:p>
    <w:p>
      <w:pPr>
        <w:ind w:left="0" w:right="0" w:firstLine="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2"/>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二、采购清单及技术参数</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46"/>
        <w:gridCol w:w="1274"/>
        <w:gridCol w:w="6106"/>
        <w:gridCol w:w="564"/>
        <w:gridCol w:w="564"/>
      </w:tblGrid>
      <w:tr>
        <w:trPr>
          <w:trHeight w:val="741"/>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编号</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产品名称</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0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产品参数</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64"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数量</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64"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单位</w:t>
            </w:r>
            <w:r/>
          </w:p>
        </w:tc>
      </w:tr>
      <w:tr>
        <w:trPr>
          <w:trHeight w:val="336"/>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自动驾驶小车应用场景</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06" w:type="dxa"/>
            <w:vAlign w:val="top"/>
            <w:textDirection w:val="lrTb"/>
            <w:noWrap w:val="false"/>
          </w:tcPr>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1、大小:外部尺寸≥400*400*70cm，内景≥377*377 cm；兼具美观与安全防护功能。</w:t>
              <w:br/>
              <w:t xml:space="preserve">2、交通信息提示标志:11类</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r>
      <w:tr>
        <w:trPr>
          <w:trHeight w:val="145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自动驾驶小车</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06" w:type="dxa"/>
            <w:vAlign w:val="top"/>
            <w:textDirection w:val="lrTb"/>
            <w:noWrap w:val="false"/>
          </w:tcPr>
          <w:p>
            <w:pPr>
              <w:numPr>
                <w:ilvl w:val="0"/>
                <w:numId w:val="2"/>
              </w:numPr>
              <w:spacing w:before="220" w:after="0" w:line="250"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中央处理器 </w:t>
              <w:br/>
              <w:t xml:space="preserve">(1)功耗：≤20W； </w:t>
              <w:br/>
              <w:t xml:space="preserve">(2)供电要求：≤12V2A； </w:t>
              <w:br/>
              <w:t xml:space="preserve">(3)CPU：核心数≥4核，主频≥1.2GHz，64位； </w:t>
              <w:br/>
              <w:t xml:space="preserve">(4)BPU：双核@1GHz，等效算力≥5TOPS； </w:t>
              <w:br/>
              <w:t xml:space="preserve">(5)运行内存≥第四代的低功耗双数据速率内存，RAM容量≥4GB、 频率≥1333MHz、读写速度≥10.6GB/s； </w:t>
              <w:br/>
              <w:t xml:space="preserve">(6)磁盘内存：EMMC≥64GB，可移动SD内存卡，容量≥32GB； </w:t>
              <w:br/>
              <w:t xml:space="preserve">(7)外设接口≥40PIN的标准接口（含GPIO、I2C、SPI、UART），≥5个通用串行USB接口，≥1个HDMI接口，≥</w:t>
            </w:r>
            <w:r>
              <w:rPr>
                <w:rFonts w:ascii="SimSun" w:hAnsi="SimSun" w:eastAsia="SimSun" w:cs="SimSun"/>
                <w:color w:val="000000"/>
                <w:sz w:val="22"/>
              </w:rPr>
              <w:t xml:space="preserve">1个千兆网络接口，≥1路can接口； </w:t>
              <w:br/>
              <w:t xml:space="preserve">(8)网络：自带无线网卡，支持2.4G和5G； </w:t>
              <w:br/>
              <w:t xml:space="preserve">(9)操作系统：采用Ubuntu+元操作系统架构，提供机器人硬件抽象、底 层设备控制、常用函数的实现、进程间消息传递、包管理等服务以及跨 计算机运行代码所需的工具和库函数； </w:t>
              <w:br/>
              <w:t xml:space="preserve">(10)软件环境：具有计算机视觉库opencv、python3、NPU算法工具链； </w:t>
              <w:br/>
              <w:t xml:space="preserve">(11)开发语言：Python、C/C++； </w:t>
              <w:br/>
              <w:t xml:space="preserve">2.多传感器融合控制器 </w:t>
              <w:br/>
              <w:t xml:space="preserve">(1)参考尺寸≥100x150mm； </w:t>
              <w:br/>
              <w:t xml:space="preserve">(2)CPU：带DSP和FPU、32bit、主</w:t>
            </w:r>
            <w:r>
              <w:rPr>
                <w:rFonts w:ascii="SimSun" w:hAnsi="SimSun" w:eastAsia="SimSun" w:cs="SimSun"/>
                <w:color w:val="000000"/>
                <w:sz w:val="22"/>
              </w:rPr>
              <w:t xml:space="preserve">频≥72MHz； </w:t>
              <w:br/>
              <w:t xml:space="preserve">(3)Flash容量≥256KB； </w:t>
              <w:br/>
              <w:t xml:space="preserve">(4)RAM容量≥48KB；</w:t>
              <w:br/>
              <w:t xml:space="preserve">(5)工作温度：-40°C~85°C； </w:t>
              <w:br/>
              <w:t xml:space="preserve">(6)通用串行总线接口：通用串行总线数量≥2个，通用串行总线3.0 数量≥4个； </w:t>
              <w:br/>
              <w:t xml:space="preserve">(7)通高清多媒体接口：高清多媒体接口≥1个； </w:t>
              <w:br/>
              <w:t xml:space="preserve">(8)编码器接口数量：≥4路； </w:t>
              <w:br/>
              <w:t xml:space="preserve">(9)下载接口≥1路ST-LINK接口； </w:t>
              <w:br/>
              <w:t xml:space="preserve">(10)超声波测距传感器接口≥3路超声波测距传感器接口； </w:t>
              <w:br/>
              <w:t xml:space="preserve">(11)开关预留接口≥1路紧急停止按钮接口、1路橡胶带状的压敏 开关接口； </w:t>
              <w:br/>
              <w:t xml:space="preserve">(12)传感器预留接口：3路防跌</w:t>
            </w:r>
            <w:r>
              <w:rPr>
                <w:rFonts w:ascii="SimSun" w:hAnsi="SimSun" w:eastAsia="SimSun" w:cs="SimSun"/>
                <w:color w:val="000000"/>
                <w:sz w:val="22"/>
              </w:rPr>
              <w:t xml:space="preserve">落传感器接口、3路ADC； </w:t>
              <w:br/>
              <w:t xml:space="preserve">(13)IO预留接口：2路数字输入； </w:t>
              <w:br/>
              <w:t xml:space="preserve">(14)电源接口：3路DC-12V电源输出、3路DC-5V电源输出； </w:t>
              <w:br/>
              <w:t xml:space="preserve">(15)支持C++、Java、ROS、Python、Labview编程，</w:t>
              <w:br/>
              <w:t xml:space="preserve">(16)连接方式：Wifi（802.11 b,g,n）、千兆以太网，</w:t>
              <w:br/>
              <w:t xml:space="preserve">(17)通讯接口：USB、I2C、SPI、CAN（2.0b）、UART， </w:t>
              <w:br/>
              <w:t xml:space="preserve">(18)USB连接器：USBMicro-B，</w:t>
              <w:br/>
              <w:t xml:space="preserve">(19)模拟输入输出分辨率≥12bit，</w:t>
              <w:br/>
              <w:t xml:space="preserve">(20)模拟通道数≥4，</w:t>
              <w:br/>
              <w:t xml:space="preserve">(21)数字通道数≥30，</w:t>
              <w:br/>
              <w:t xml:space="preserve">(22)</w:t>
            </w:r>
            <w:r>
              <w:rPr>
                <w:rFonts w:ascii="SimSun" w:hAnsi="SimSun" w:eastAsia="SimSun" w:cs="SimSun"/>
                <w:color w:val="000000"/>
                <w:sz w:val="22"/>
              </w:rPr>
              <w:t xml:space="preserve">电源输出：+5V、+3.3V，内置WIFI、蓝牙、navX-IMU，可用于机器人控制系统或视觉/运动处理器。 </w:t>
              <w:br/>
              <w:t xml:space="preserve">3.移动管理系统参数 </w:t>
              <w:br/>
              <w:t xml:space="preserve">(1)移动类型：前轮转向，后轮驱动； </w:t>
              <w:br/>
              <w:t xml:space="preserve">(2)车轮类型：橡胶轮； </w:t>
              <w:br/>
              <w:t xml:space="preserve">(3)车轮数量：4个； </w:t>
              <w:br/>
              <w:t xml:space="preserve">(4)车轮负载能力≥15kg； </w:t>
              <w:br/>
              <w:t xml:space="preserve">(5)减速电机数量≥2个； </w:t>
              <w:br/>
              <w:t xml:space="preserve">(6)减速电机参数： </w:t>
              <w:br/>
              <w:t xml:space="preserve">1)电机类型：行星减速直流有刷电机； </w:t>
              <w:br/>
              <w:t xml:space="preserve">2)电机总长≤120mm； </w:t>
              <w:br/>
              <w:t xml:space="preserve">3)最大直径≤38mm； </w:t>
              <w:br/>
              <w:t xml:space="preserve">4)重量≤380g； </w:t>
              <w:br/>
              <w:t xml:space="preserve">5)输出轴直径≤8mm； </w:t>
              <w:br/>
              <w:t xml:space="preserve">6)输出轴类型：D轴； </w:t>
              <w:br/>
              <w:t xml:space="preserve">7)输出轴长度≤2</w:t>
            </w:r>
            <w:r>
              <w:rPr>
                <w:rFonts w:ascii="SimSun" w:hAnsi="SimSun" w:eastAsia="SimSun" w:cs="SimSun"/>
                <w:color w:val="000000"/>
                <w:sz w:val="22"/>
              </w:rPr>
              <w:t xml:space="preserve">0mm； </w:t>
              <w:br/>
              <w:t xml:space="preserve">8)齿轮箱减速比：27：1； </w:t>
              <w:br/>
              <w:t xml:space="preserve">9)齿轮材料：全钢齿； </w:t>
              <w:br/>
              <w:t xml:space="preserve">10)轮箱类型：直齿轮； </w:t>
              <w:br/>
              <w:t xml:space="preserve">(7)舵机数量：1个； </w:t>
              <w:br/>
              <w:t xml:space="preserve">(8)舵机参数 </w:t>
              <w:br/>
              <w:t xml:space="preserve">1)尺寸≥35x20x40mm； </w:t>
              <w:br/>
              <w:t xml:space="preserve">2)重量≤65g； </w:t>
              <w:br/>
              <w:t xml:space="preserve">4.电气系统参数</w:t>
            </w:r>
            <w:r/>
          </w:p>
          <w:p>
            <w:pPr>
              <w:numPr>
                <w:ilvl w:val="0"/>
                <w:numId w:val="3"/>
              </w:numPr>
              <w:spacing w:before="220" w:after="0" w:line="250"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超声波测距传感器 数量≥2个； </w:t>
              <w:br/>
              <w:t xml:space="preserve">工作频率：40KHz； </w:t>
              <w:br/>
              <w:t xml:space="preserve">工作温度范围：－10℃～＋70℃； </w:t>
              <w:br/>
              <w:t xml:space="preserve">探测有效距离：1cm～500cm； </w:t>
              <w:br/>
              <w:t xml:space="preserve">探测分辨率：0.5cm； </w:t>
              <w:br/>
              <w:t xml:space="preserve">探测误差：±0.5%； </w:t>
              <w:br/>
              <w:t xml:space="preserve">(2)2D摄像头 </w:t>
              <w:br/>
              <w:t xml:space="preserve">1)数量：2个； </w:t>
              <w:br/>
              <w:t xml:space="preserve">2)感光元件类型：CMOS</w:t>
              <w:br/>
              <w:t xml:space="preserve">3)默认速度：30帧/秒；</w:t>
              <w:br/>
              <w:t xml:space="preserve">4)信噪比：39dB； </w:t>
              <w:br/>
              <w:t xml:space="preserve">5)工作温度：-30~70℃； </w:t>
              <w:br/>
              <w:t xml:space="preserve">6)输出分辨率：320*240/640*480/1280*720/1920*1080； </w:t>
              <w:br/>
              <w:t xml:space="preserve">7)像素≥200万； </w:t>
              <w:br/>
              <w:t xml:space="preserve">(3)六自由度陀螺仪传感器 </w:t>
              <w:br/>
              <w:t xml:space="preserve">1)通信方式：IIC/</w:t>
            </w:r>
            <w:r>
              <w:rPr>
                <w:rFonts w:ascii="SimSun" w:hAnsi="SimSun" w:eastAsia="SimSun" w:cs="SimSun"/>
                <w:color w:val="000000"/>
                <w:sz w:val="22"/>
              </w:rPr>
              <w:t xml:space="preserve">SPI； </w:t>
              <w:br/>
              <w:t xml:space="preserve">2)参考尺寸：长×宽&gt;=15mm*15mm。 </w:t>
              <w:br/>
              <w:t xml:space="preserve">(4)紧急停止按钮 1)数量≥1个。 </w:t>
              <w:br/>
              <w:t xml:space="preserve">(5)电池 </w:t>
              <w:br/>
              <w:t xml:space="preserve">1)数量≥1个； </w:t>
              <w:br/>
              <w:t xml:space="preserve">2)电压：12V； </w:t>
              <w:br/>
              <w:t xml:space="preserve">3)容量≥10AH； </w:t>
              <w:br/>
              <w:t xml:space="preserve">4)电池类型：锂电池； </w:t>
              <w:br/>
              <w:t xml:space="preserve">5)参考尺寸：长×宽×高&gt;=40mm*76mm*114mm； </w:t>
              <w:br/>
              <w:t xml:space="preserve">6)重量≥0.5kg； </w:t>
              <w:br/>
              <w:t xml:space="preserve">7)充电温度：-20-60℃； </w:t>
              <w:br/>
              <w:t xml:space="preserve">8)放电温度：-30-70℃； </w:t>
              <w:br/>
              <w:t xml:space="preserve">9)储存温度：-40-60℃。 </w:t>
              <w:br/>
              <w:t xml:space="preserve">(6)激光雷达： </w:t>
              <w:br/>
              <w:t xml:space="preserve">1)主体直径尺寸≤61mm,高度≤50mm； </w:t>
              <w:br/>
              <w:t xml:space="preserve">2)重量：≤190g； </w:t>
              <w:br/>
              <w:t xml:space="preserve">3)测量半径：≥8m</w:t>
            </w:r>
            <w:r>
              <w:rPr>
                <w:rFonts w:ascii="SimSun" w:hAnsi="SimSun" w:eastAsia="SimSun" w:cs="SimSun"/>
                <w:color w:val="000000"/>
                <w:sz w:val="22"/>
              </w:rPr>
              <w:t xml:space="preserve">； </w:t>
              <w:br/>
              <w:t xml:space="preserve">4)采样频率：≥3000次/秒； </w:t>
              <w:br/>
              <w:t xml:space="preserve">5)角度分辨率：0.6-0.96°； </w:t>
              <w:br/>
              <w:t xml:space="preserve">6)接口类型：通用串行总线； </w:t>
              <w:br/>
              <w:t xml:space="preserve">(7)灯带 </w:t>
              <w:br/>
              <w:t xml:space="preserve">1)数量≥1个； </w:t>
              <w:br/>
              <w:t xml:space="preserve">2)电压：3.3V~5V； </w:t>
              <w:br/>
              <w:t xml:space="preserve">3)位数≥16位；</w:t>
              <w:br/>
              <w:t xml:space="preserve">4)数据发送速度≥800Kbps；</w:t>
              <w:br/>
              <w:t xml:space="preserve">5)亮度级数≥256级；</w:t>
              <w:br/>
              <w:t xml:space="preserve">(8)USB免驱声卡 </w:t>
              <w:br/>
              <w:t xml:space="preserve">1)数量≥1个；</w:t>
              <w:br/>
              <w:t xml:space="preserve">2)适配设备：个人电脑/嵌入式控制器；</w:t>
              <w:br/>
              <w:t xml:space="preserve">3)声卡参考尺寸≥60mm*15mm </w:t>
              <w:br/>
              <w:t xml:space="preserve">4)喇叭参考尺寸≥60mm*25mm*15mm </w:t>
              <w:br/>
              <w:t xml:space="preserve">(9)可视化终端 </w:t>
              <w:br/>
              <w:t xml:space="preserve">1)功能要求：模型训练，机器人实时控制，感知和规划运行过程等</w:t>
            </w:r>
            <w:r>
              <w:rPr>
                <w:rFonts w:ascii="SimSun" w:hAnsi="SimSun" w:eastAsia="SimSun" w:cs="SimSun"/>
                <w:color w:val="000000"/>
                <w:sz w:val="22"/>
              </w:rPr>
              <w:t xml:space="preserve">； </w:t>
              <w:br/>
              <w:t xml:space="preserve">2)显示终端尺寸≥50英寸； </w:t>
              <w:br/>
              <w:t xml:space="preserve">3)图形分辨率≥1920x1080； </w:t>
              <w:br/>
              <w:t xml:space="preserve">4)配置可活动安装支架； </w:t>
              <w:br/>
              <w:t xml:space="preserve">5.机械结构参数 </w:t>
              <w:br/>
              <w:t xml:space="preserve">(1)最大载重≤15kg； </w:t>
              <w:br/>
              <w:t xml:space="preserve">(2)外形参考尺寸≥ 400mm×350mm×150mm； </w:t>
              <w:br/>
              <w:t xml:space="preserve">(3)底盘形状：长方型； </w:t>
              <w:br/>
              <w:t xml:space="preserve">(4)底盘材质：铝合金。 </w:t>
              <w:br/>
              <w:t xml:space="preserve">(5)驱动方式：后轮驱动，前轮转向 </w:t>
              <w:br/>
              <w:t xml:space="preserve">(6)上下装连接方式：铰链开合，卡扣闭合，开合角度&gt;=90° </w:t>
              <w:br/>
              <w:t xml:space="preserve">6.软件功能 </w:t>
              <w:br/>
              <w:t xml:space="preserve">(1)基于AI视觉与pytorch深度学习框架的交通标志物检测识别； </w:t>
              <w:br/>
              <w:t xml:space="preserve">(2)基于多传感器融合SLAM的嵌入式机械车室内</w:t>
            </w:r>
            <w:r>
              <w:rPr>
                <w:rFonts w:ascii="SimSun" w:hAnsi="SimSun" w:eastAsia="SimSun" w:cs="SimSun"/>
                <w:color w:val="000000"/>
                <w:sz w:val="22"/>
              </w:rPr>
              <w:t xml:space="preserve">避障、导航，车载传感 器包含激光雷达、2D/3D相机、超声波、里程计、六自由度陀螺仪； </w:t>
              <w:br/>
              <w:t xml:space="preserve">(3)配备脚本工具包，能够简化神经网络配置、模型迁移、模型部署流程 的操作； </w:t>
              <w:br/>
              <w:t xml:space="preserve">(4)具有可视化交互软件，能够通过可视化软件完成雷达建图、导航仿真。</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(5)可自定义实现不同大气条件和照明条件，包括太阳的位置和颜色、天空漫射的强度和颜色以及环境遮挡、大气雾、云量和降水量等条件，并能自定义组合不同的照明天气条件。</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可自定义构建城市环境：a、包括规划道路和人行道；b、能自定义行为数量及位置；c、能自定义房屋、植被、地形和交通基础设施（包括：红灯、绿灯、黄灯、左转标志、右转标志、停止标志、限速标志等）；d、能自定义车辆类型以及位置。</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r>
      <w:tr>
        <w:trPr>
          <w:trHeight w:val="444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自动驾驶一体机</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06" w:type="dxa"/>
            <w:vAlign w:val="top"/>
            <w:textDirection w:val="lrTb"/>
            <w:noWrap w:val="false"/>
          </w:tcPr>
          <w:p>
            <w:pPr>
              <w:numPr>
                <w:ilvl w:val="0"/>
                <w:numId w:val="4"/>
              </w:numPr>
              <w:spacing w:before="220" w:after="0" w:line="250"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人机交互显示模块尺寸：不小于21.5寸；</w:t>
              <w:br/>
              <w:t xml:space="preserve">2.主控模块：</w:t>
              <w:br/>
              <w:t xml:space="preserve">主频：2.9GHz</w:t>
              <w:br/>
              <w:t xml:space="preserve">最高睿频：4.3Ghz</w:t>
              <w:br/>
              <w:t xml:space="preserve">核心线程：六核十二线程</w:t>
              <w:br/>
              <w:t xml:space="preserve">三级缓存：≥12MB</w:t>
              <w:br/>
              <w:t xml:space="preserve">热设计功耗：≥65W</w:t>
              <w:br/>
              <w:t xml:space="preserve">3.临时存储模块：容量不低于8G 三代双倍速率的SDRAM、时钟频率不低于1066MHz、数据传输带宽不低于8.5GB/s、电压不高于1.5V；</w:t>
              <w:br/>
              <w:t xml:space="preserve">4.数据存储器容量：≥256GB可用空间；</w:t>
              <w:br/>
              <w:t xml:space="preserve">5.图形处理单元：独立显卡，显存≥12GB；</w:t>
              <w:br/>
              <w:t xml:space="preserve">6.人机交互模块</w:t>
              <w:br/>
              <w:t xml:space="preserve">传输方式：2.4G无线传输</w:t>
              <w:br/>
              <w:t xml:space="preserve">传输距离：≥10M</w:t>
              <w:br/>
              <w:t xml:space="preserve">7.操作系统：Ubuntu 64bit；</w:t>
            </w:r>
            <w:r>
              <w:rPr>
                <w:rFonts w:ascii="SimSun" w:hAnsi="SimSun" w:eastAsia="SimSun" w:cs="SimSun"/>
                <w:color w:val="000000"/>
                <w:sz w:val="22"/>
              </w:rPr>
              <w:br/>
              <w:t xml:space="preserve">8.编程语言：Python/C++/C；</w:t>
              <w:br/>
              <w:t xml:space="preserve">9.训练环境：计算机视觉库OpenCV、NVIDIA运算平台cuda；；</w:t>
              <w:br/>
              <w:t xml:space="preserve">10.训练工具包：包括拍摄软件、数据标注软件、数据集分类软件、神经网络模型配置软件、模型训练脚本库。</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11.支持使用Python、C、C++、Java对机器人进行编程；</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▲12.支持虚拟摄像头的调用完成视觉编程训练；</w:t>
            </w:r>
            <w:r>
              <w:rPr>
                <w:rFonts w:ascii="SimSun" w:hAnsi="SimSun" w:eastAsia="SimSun" w:cs="SimSun"/>
                <w:b/>
                <w:color w:val="000000"/>
                <w:sz w:val="22"/>
              </w:rPr>
              <w:t xml:space="preserve">（投标文件中须提供具有CNAS或CMA第三方检测机构出具检测报告复印件及全国认证认可信息公共服务平台查询检测报告的截图。)</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▲13.支持声纳/超声波、激光、加速度计、位置传感器、测距仪、红外线、摄像头等传感器的仿真；</w:t>
            </w:r>
            <w:r>
              <w:rPr>
                <w:rFonts w:ascii="SimSun" w:hAnsi="SimSun" w:eastAsia="SimSun" w:cs="SimSun"/>
                <w:b/>
                <w:color w:val="000000"/>
                <w:sz w:val="22"/>
              </w:rPr>
              <w:t xml:space="preserve">（投标文件中须提供具有CNAS或CMA第三方检测机构出具检测报告复印件及全国认证认可信息公共服务平台查询检测报告的截图。)</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14.提供可视化编辑器，允许用户零代码搭建三维场景；场景文件可导出供他人使用；</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15.支持加速仿真，快速验证效果；</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█16.支持对已结束的实验进行3D回放，支持暂停、快进以及进度条展示；</w:t>
            </w:r>
            <w:r>
              <w:rPr>
                <w:rFonts w:ascii="SimSun" w:hAnsi="SimSun" w:eastAsia="SimSun" w:cs="SimSun"/>
                <w:b/>
                <w:color w:val="000000"/>
                <w:sz w:val="22"/>
              </w:rPr>
              <w:t xml:space="preserve">（投标文件中需提供软件操作视频，清晰展示并佐证所述功能可实现。）</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17.支持 STL、OBJ、DAE 等主流 3D 格式直接导入，坐标系与单位可自动识别与转换；</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18.支持可视化的传感器监控，包括但不限于摄像头、红外传感器；19.软件操作界面支持中英双语；</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20.在主流 Linux 桌面环境（GNOME/KDE/XFCE）及 Windows 自动生成标准快捷方式图标，双击即可启动；</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21.支持对场景进行点位标记；</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22.支持主流的linux发行版;</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23.系统所有功能在完全断网环境下可用，不得依赖任何外网服务或在线许可证验证；</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24.提供实体键盘映射配置界面，支持 W/A/S/D、方向键及自定义组合键实时控制机器人；仿真窗口同步显示机器人运动轨迹、速度、朝向等数据；</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25.提供向导式校准工具，允许用户输入目标距离，系统自动执行；开放速度、加速度、PID参数的手动微调接口；</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█26.内置货架搬运完整示例场景：含起始点/目标点设置、路径规划、导航避障、货架抓取/卸载动作脚本；同时支持自主导航与指令式控制两种模式；</w:t>
            </w:r>
            <w:r>
              <w:rPr>
                <w:rFonts w:ascii="SimSun" w:hAnsi="SimSun" w:eastAsia="SimSun" w:cs="SimSun"/>
                <w:b/>
                <w:color w:val="000000"/>
                <w:sz w:val="22"/>
              </w:rPr>
              <w:t xml:space="preserve">（投标文件中需提供软件操作视频，清晰展示并佐证所述功能可实现。）</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█27.嵌入离线 AI 问答模块，用户可直接在软件内提问关于平台使用、模型导入、代码示例等操作问题，响应时间 ≤10秒；</w:t>
            </w:r>
            <w:r>
              <w:rPr>
                <w:rFonts w:ascii="SimSun" w:hAnsi="SimSun" w:eastAsia="SimSun" w:cs="SimSun"/>
                <w:b/>
                <w:color w:val="000000"/>
                <w:sz w:val="22"/>
              </w:rPr>
              <w:t xml:space="preserve">（投标文件中需提供软件操作视频，清晰展示并佐证所述功能可实现。）</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▲28.AI助手支持支持主流开源大模型本地部署（包括但不限于 DeepSeek 系列、Qwen 系列、Llama 系列、ChatGLM 系列等），或可选云端调用；开放温度、最大 token 数等参数配置界面</w:t>
            </w:r>
            <w:r>
              <w:rPr>
                <w:rFonts w:ascii="SimSun" w:hAnsi="SimSun" w:eastAsia="SimSun" w:cs="SimSun"/>
                <w:b/>
                <w:color w:val="000000"/>
                <w:sz w:val="22"/>
              </w:rPr>
              <w:t xml:space="preserve">（投标文件中须提供具有CNAS或CMA第三方检测机构出具检测报告复印件及全国认证认可信息公共服务平台查询检测报告的截图。)</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▲29.算力云平台（投标文件中需提供软件运行界面截图，清晰展示并佐证所述功能可实现。）</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1)支持人工智能在线数据标注</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2)平台支持tensorflow、pytorch、PaddlePaddle等多种深度学习框架；支持yolov5、shufflenet、resnet等多种算法。</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3)平台支持数据集管理、算法调参、模型训练、模型推理与部署、镜像管理、数据可视化等功能。</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4)支持基础教学功能，包括但不限于课堂安排、课程分配、实操实验、理论测试、班级设置</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5)算法训练可视化：集成TensorBoard算法训练可视化面板，实时显示训练过程的动态表格。</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6)镜像管理，平台支持手动docker镜像上传和设置拉取密钥平台自动拉取</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7)支持多种实验环境，包括但不限于常用编程语言环境、ubuntu云桌面、仿真环境、常用编程IDE环境</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8)支持本地化离线部署和在线部署</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9)支持实操实验系统自动评分、教师后台手动评分并书写评语</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10)支持浏览器访问使用</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11)主要功能：图像采集、数据标注、人机协同标注、数据管理、试标数据、模板管理、数据报表与数据评估。</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12)标注支持数据类型：图像、语音、视频</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13)标注工具功能可以满足对标注资源进行数据标注，包含标注工具、移动工具、编辑工具、拖拽工具、放大工具、缩小工具、保存工具、提交工具等等。</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14)平台支持人机协同标注算法（算法以实际配置为准）支持不同的人工智能算法，由机器对数据进行标注，人工校准交替式进行。实现数据算法闭环操作，降低标注成本，提升工作效率。</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15)人脸检测人机协同标注算法。</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16)车牌号人机协同标注算法。</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17)车辆矩形框人机协同标注算法。</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18)数据评估：可对标注质量结果进行评估。</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19)支持理论考核功能。</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20）理论考核功能支持单项选择题、判断题、多项选择题、简答题。</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r>
      <w:tr>
        <w:trPr>
          <w:trHeight w:val="1851"/>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智能网联汽车教学套件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06" w:type="dxa"/>
            <w:vAlign w:val="top"/>
            <w:textDirection w:val="lrTb"/>
            <w:noWrap w:val="false"/>
          </w:tcPr>
          <w:p>
            <w:pPr>
              <w:numPr>
                <w:ilvl w:val="0"/>
                <w:numId w:val="5"/>
              </w:numPr>
              <w:spacing w:before="220" w:after="0" w:line="250"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智能汽车本体</w:t>
              <w:br/>
              <w:t xml:space="preserve">（1）基础参数</w:t>
              <w:br/>
              <w:t xml:space="preserve">1)尺寸：≥1000*750*950mm</w:t>
              <w:br/>
              <w:t xml:space="preserve">2)轴距：≥650mm</w:t>
              <w:br/>
              <w:t xml:space="preserve">3)前后轮距：≥605mm</w:t>
              <w:br/>
              <w:t xml:space="preserve">4)电池类型：锂电池24V60Ah</w:t>
              <w:br/>
              <w:t xml:space="preserve">5)动力驱动电机：直流无刷2*400W</w:t>
              <w:br/>
              <w:t xml:space="preserve">6)转向驱动电机：直流无刷400W</w:t>
              <w:br/>
              <w:t xml:space="preserve">7)减速箱：1:40</w:t>
              <w:br/>
              <w:t xml:space="preserve">8)驻车形式：失电式电磁抱闸</w:t>
              <w:br/>
              <w:t xml:space="preserve">9)转向形式：前轮阿克曼转向</w:t>
              <w:br/>
              <w:t xml:space="preserve">10)编码器：磁编2500</w:t>
              <w:br/>
              <w:t xml:space="preserve">11)最大内轮转向角度：33°</w:t>
              <w:br/>
              <w:t xml:space="preserve">12)电气元件安装：支持安装自动驾驶拓展模块(13)车灯：包含转向灯、刹车灯、行车灯</w:t>
            </w:r>
            <w:r/>
          </w:p>
          <w:p>
            <w:pPr>
              <w:ind w:left="0" w:right="0" w:firstLine="0"/>
              <w:spacing w:before="220" w:after="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（2）性能参数</w:t>
              <w:br/>
              <w:t xml:space="preserve">1)转向精度：约0.5°</w:t>
              <w:br/>
              <w:t xml:space="preserve">2)空载最高车速：1.5m/s</w:t>
              <w:br/>
              <w:t xml:space="preserve">3)最小转向半径：1.6m</w:t>
              <w:br/>
              <w:t xml:space="preserve">4)最大爬坡能力：10°</w:t>
              <w:br/>
              <w:t xml:space="preserve">5)最小离地间隙：105mm</w:t>
              <w:br/>
              <w:t xml:space="preserve">6)工作温度：-10~45℃</w:t>
              <w:br/>
              <w:t xml:space="preserve">7)载重：≥150kg</w:t>
              <w:br/>
              <w:t xml:space="preserve">（3）通讯参数</w:t>
              <w:br/>
              <w:t xml:space="preserve">1)控制模式：遥控控制/控制指令模式</w:t>
              <w:br/>
              <w:t xml:space="preserve">2)遥控器：2.4G/极限距离200m</w:t>
              <w:br/>
              <w:t xml:space="preserve">3)通讯接口：CAN，RJ45</w:t>
              <w:br/>
              <w:t xml:space="preserve">（4）摄像头参数</w:t>
              <w:br/>
              <w:t xml:space="preserve">1)传感器：性能：有效像素≥200 万，信噪比≥39dB，低照度≤0.0002lux，动态范围≥72dB，支持自动曝光 / 白平衡 / 增益调节</w:t>
              <w:br/>
              <w:t xml:space="preserve">2)速度：</w:t>
            </w:r>
            <w:r>
              <w:rPr>
                <w:rFonts w:ascii="SimSun" w:hAnsi="SimSun" w:eastAsia="SimSun" w:cs="SimSun"/>
                <w:color w:val="000000"/>
                <w:sz w:val="22"/>
              </w:rPr>
              <w:t xml:space="preserve">1920*108030帧/秒</w:t>
              <w:br/>
              <w:t xml:space="preserve">3)信噪比：39dB</w:t>
              <w:br/>
              <w:t xml:space="preserve">4)工作电压：≥5V</w:t>
              <w:br/>
              <w:t xml:space="preserve">5)工作电流：160-220mA</w:t>
              <w:br/>
              <w:t xml:space="preserve">6)分辨率：包括</w:t>
              <w:br/>
              <w:t xml:space="preserve">（640*480\1280*720\11280*1024\1920*1080）</w:t>
              <w:br/>
              <w:t xml:space="preserve">7)输出格式：MJPG\YUY2</w:t>
              <w:br/>
              <w:t xml:space="preserve">8)影像处理：自动曝光AEC\自动白平衡AEB\自动增益AGC</w:t>
              <w:br/>
              <w:t xml:space="preserve">9)接口：USB2.0免驱动</w:t>
              <w:br/>
              <w:t xml:space="preserve">10)工作温度：-30~70℃</w:t>
              <w:br/>
              <w:t xml:space="preserve">11)低照度：0.0002lux</w:t>
              <w:br/>
              <w:t xml:space="preserve">12)动态范围：72dB</w:t>
              <w:br/>
              <w:t xml:space="preserve">（5）显示器参数</w:t>
              <w:br/>
              <w:t xml:space="preserve">1)分辨率：1366*768</w:t>
              <w:br/>
              <w:t xml:space="preserve">2)工作频率：≥60Hz</w:t>
              <w:br/>
              <w:t xml:space="preserve">3)对比度：</w:t>
            </w:r>
            <w:r>
              <w:rPr>
                <w:rFonts w:ascii="SimSun" w:hAnsi="SimSun" w:eastAsia="SimSun" w:cs="SimSun"/>
                <w:color w:val="000000"/>
                <w:sz w:val="22"/>
              </w:rPr>
              <w:t xml:space="preserve">1000:1</w:t>
              <w:br/>
              <w:t xml:space="preserve">4)电源输入：DC12V</w:t>
              <w:br/>
              <w:t xml:space="preserve">2.自动驾驶硬件在环仿真平台</w:t>
              <w:br/>
              <w:t xml:space="preserve">（1）车辆虚拟传感器安装和配置</w:t>
              <w:br/>
              <w:t xml:space="preserve">可以对仿真系统中的车辆进行传感器硬件的安装和配置，安装时可以对传感器的坐标以及角度进行配置，安装的传感器会影响到仿真中实际车辆的传感器位置。</w:t>
              <w:br/>
              <w:t xml:space="preserve">（2）感知模型开发测试</w:t>
              <w:br/>
              <w:t xml:space="preserve">在仿真平台上可以配置和查看感知模型的网络图示，对感知网络的结构进行分析和选择；接下来在内置的IDE中对模型感知项目进行编程，实现数据预处理、模型推理、结果解析的整个模型推理流程。</w:t>
              <w:br/>
              <w:t xml:space="preserve">▲（3）基于硬件在环系统的自动驾驶功能</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可以在仿真平台中配置车辆车道线检测模型，并将模型及代码部署到人工智能协处理器中进行处理，实现自动驾驶的决策控制。硬件仿真平台运行过程中车辆与真实车辆转向和油门动作响应一致，并且自动驾驶完成后程序能够自动检测车辆运行的时间、压线次数、红绿灯识别等项目，给出评分成绩。</w:t>
            </w:r>
            <w:r>
              <w:rPr>
                <w:rFonts w:ascii="SimSun" w:hAnsi="SimSun" w:eastAsia="SimSun" w:cs="SimSun"/>
                <w:b/>
                <w:color w:val="000000"/>
                <w:sz w:val="22"/>
              </w:rPr>
              <w:t xml:space="preserve">（投标文件中须提供具有CNAS或CMA第三方检测机构出具检测报告复印件及全国认证认可信息公共服务平台查询检测报告的截图。)</w:t>
              <w:br/>
            </w:r>
            <w:r>
              <w:rPr>
                <w:rFonts w:ascii="SimSun" w:hAnsi="SimSun" w:eastAsia="SimSun" w:cs="SimSun"/>
                <w:color w:val="000000"/>
                <w:sz w:val="22"/>
              </w:rPr>
              <w:t xml:space="preserve">3．教学拓展套件</w:t>
              <w:br/>
              <w:t xml:space="preserve">（1）高性能工控机</w:t>
              <w:br/>
              <w:t xml:space="preserve">1)CPU:12代I7处理器</w:t>
              <w:br/>
              <w:t xml:space="preserve">2)GPU：核心频率1650MHz，显存频率14000MHz，显存容量12GB</w:t>
              <w:br/>
              <w:t xml:space="preserve">3)内存：≥32G</w:t>
              <w:br/>
              <w:t xml:space="preserve">4)硬盘：≥512GBNVME固态</w:t>
              <w:br/>
              <w:t xml:space="preserve">5)网络：2.5Gb以太网接口</w:t>
              <w:br/>
              <w:t xml:space="preserve">6)其他接口：雷电4接口*2，USB3.0接口*6，HDMI接口*1，DP接口*2</w:t>
              <w:br/>
              <w:t xml:space="preserve">7)电源：19V直流输入</w:t>
              <w:br/>
              <w:t xml:space="preserve">8)尺寸：≥230mm*180mm*60mm</w:t>
              <w:br/>
              <w:t xml:space="preserve">（2）组合导航</w:t>
              <w:br/>
              <w:t xml:space="preserve">1)姿态精度：0.1°（基线长度2m）</w:t>
              <w:br/>
              <w:t xml:space="preserve">2)RTK精度：1cm±1ppm</w:t>
              <w:br/>
              <w:t xml:space="preserve">3)数据更新率：100Hz</w:t>
              <w:br/>
              <w:t xml:space="preserve">4</w:t>
            </w:r>
            <w:r>
              <w:rPr>
                <w:rFonts w:ascii="SimSun" w:hAnsi="SimSun" w:eastAsia="SimSun" w:cs="SimSun"/>
                <w:color w:val="000000"/>
                <w:sz w:val="22"/>
              </w:rPr>
              <w:t xml:space="preserve">)通信接口：RS232/RS485、USB2.0、网口、CAN接口、PPS授时接口</w:t>
              <w:br/>
              <w:t xml:space="preserve">5)陀螺仪类型：MEMS</w:t>
              <w:br/>
              <w:t xml:space="preserve">6)陀螺仪量程：±500°/s</w:t>
              <w:br/>
              <w:t xml:space="preserve">7)工作温度：-40℃~＋75℃</w:t>
              <w:br/>
              <w:t xml:space="preserve">8)输入电压：9-36VDC</w:t>
              <w:br/>
              <w:t xml:space="preserve">9)功耗：≥5W</w:t>
              <w:br/>
              <w:t xml:space="preserve">（3）激光雷达</w:t>
              <w:br/>
              <w:t xml:space="preserve">1)线数：≥16线</w:t>
              <w:br/>
              <w:t xml:space="preserve">2)激光安全等级：Class1人眼安全</w:t>
              <w:br/>
              <w:t xml:space="preserve">3)激光波长：≥905nm</w:t>
              <w:br/>
              <w:t xml:space="preserve">4)测距能力：≥150m</w:t>
              <w:br/>
              <w:t xml:space="preserve">5)盲区：0.2m</w:t>
              <w:br/>
              <w:t xml:space="preserve">6)精度：±1cm</w:t>
              <w:br/>
              <w:t xml:space="preserve">7)水平视场角：360°</w:t>
              <w:br/>
              <w:t xml:space="preserve">8)垂直视场角：≥30°</w:t>
              <w:br/>
              <w:t xml:space="preserve">9)水平角分辨率：0.1°/0.2°/0.4°</w:t>
              <w:br/>
              <w:t xml:space="preserve">10)垂直分辨率：</w:t>
            </w:r>
            <w:r>
              <w:rPr>
                <w:rFonts w:ascii="SimSun" w:hAnsi="SimSun" w:eastAsia="SimSun" w:cs="SimSun"/>
                <w:color w:val="000000"/>
                <w:sz w:val="22"/>
              </w:rPr>
              <w:t xml:space="preserve">≥2°</w:t>
              <w:br/>
              <w:t xml:space="preserve">11)帧率：5Hz/10Hz/20Hz</w:t>
              <w:br/>
              <w:t xml:space="preserve">12)转速：300/600/1200rpm</w:t>
              <w:br/>
              <w:t xml:space="preserve">13)出点数：288,000pts/s（单回波），＞576000pts/s（双回波）</w:t>
              <w:br/>
              <w:t xml:space="preserve">14)工作电压：9-32V</w:t>
              <w:br/>
              <w:t xml:space="preserve">（4）路由器</w:t>
              <w:br/>
              <w:t xml:space="preserve">1)以太网接口：≥5个</w:t>
              <w:br/>
              <w:t xml:space="preserve">2)SIM卡座：≥1个卡座+1个内置SIM卡</w:t>
              <w:br/>
              <w:t xml:space="preserve">3)LTE：支持4G全网通</w:t>
              <w:br/>
              <w:t xml:space="preserve">4)无线通讯：3模9频，LTE-FDD：BAND1/3/5/8，LTE-TDD:BAND34/38/39/40/41，WCDMA:BAND1/5/8</w:t>
              <w:br/>
              <w:t xml:space="preserve">5)无线标准：2.4G：≥150Mbps</w:t>
              <w:br/>
              <w:t xml:space="preserve">6</w:t>
            </w:r>
            <w:r>
              <w:rPr>
                <w:rFonts w:ascii="SimSun" w:hAnsi="SimSun" w:eastAsia="SimSun" w:cs="SimSun"/>
                <w:color w:val="000000"/>
                <w:sz w:val="22"/>
              </w:rPr>
              <w:t xml:space="preserve">)电源：≥12V直流输入</w:t>
              <w:br/>
              <w:t xml:space="preserve">（5）汽车传感芯片模块</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1)核心控制器：FPGA可编程逻辑电路</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2)尺寸：≤190*154*34mm</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3)超声波接口：支持8路超声波传感器</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4)CAN接口：支持2路CAN</w:t>
            </w:r>
            <w:r/>
          </w:p>
          <w:p>
            <w:pPr>
              <w:ind w:left="425" w:right="0" w:hanging="425"/>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5)压力传感器：柔性电阻式压力传感器</w:t>
            </w:r>
            <w:r/>
          </w:p>
          <w:p>
            <w:pPr>
              <w:ind w:left="425" w:right="0" w:hanging="425"/>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6)温度传感器：支持2路温度传感器</w:t>
            </w:r>
            <w:r/>
          </w:p>
          <w:p>
            <w:pPr>
              <w:ind w:left="425" w:right="0" w:hanging="425"/>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7)烧录接口：10Pin JTAG接口</w:t>
            </w:r>
            <w:r/>
          </w:p>
          <w:p>
            <w:pPr>
              <w:ind w:left="425" w:right="0" w:hanging="425"/>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8)其他接口：RS232，RS485，40PinGPIO</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9)电压：DC 12V</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█10)提供FPGA 8通道超声波驱动源代码及sbit固件，可以使用上位机完成编译、综合、布局布线、固件烧录、程序固化功能，使汽车传感芯片实现8通道超声波数据采集并且通过CAN接口传输超声波数据的功能。</w:t>
            </w:r>
            <w:r>
              <w:rPr>
                <w:rFonts w:ascii="SimSun" w:hAnsi="SimSun" w:eastAsia="SimSun" w:cs="SimSun"/>
                <w:b/>
                <w:color w:val="000000"/>
                <w:sz w:val="22"/>
              </w:rPr>
              <w:t xml:space="preserve">（投标文件中需提供软件运行视频，清晰展示并佐证所述功能可实现。）</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▲11)提供FPGA油门踏板控制源代码及sbit固件，可以使用上位机完成编译、综合、布局布线、固件烧录、程序固化功能，使用压力传感器作为汽车油门踏板，实现按压传感器控制真实车辆加速的功能。</w:t>
            </w:r>
            <w:r>
              <w:rPr>
                <w:rFonts w:ascii="SimSun" w:hAnsi="SimSun" w:eastAsia="SimSun" w:cs="SimSun"/>
                <w:b/>
                <w:color w:val="000000"/>
                <w:sz w:val="22"/>
              </w:rPr>
              <w:t xml:space="preserve">（投标文件中须提供具有CNAS或CMA第三方检测机构出具检测报告复印件及全国认证认可信息公共服务平台查询检测报告的截图。)</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（6）仿真平台</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车辆配套基于自动驾驶系统的仿真平台，包括但不限于以下内容：</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▲1）仿真场景搭建：可以使用仿真平台自由搭建并保存仿真场景，设置场景中车辆位置、障碍物信息、红绿灯信息等，并支持场景的线上保存及下载。</w:t>
            </w:r>
            <w:r>
              <w:rPr>
                <w:rFonts w:ascii="SimSun" w:hAnsi="SimSun" w:eastAsia="SimSun" w:cs="SimSun"/>
                <w:b/>
                <w:color w:val="000000"/>
                <w:sz w:val="22"/>
              </w:rPr>
              <w:t xml:space="preserve">（需提供仿真软件仿真场景搭建截图作为佐证材料）</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2）轨迹绘制：支持通过可视化界面在地图上绘制一系列轨迹点，表示起点和终点之间的路径，从而方便地将数据输入到规划算法中，并可视化路径规划的输出结果。</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场景仿真：用于运行并监测规控算法效果，可设置规划、控制、路由算法的开启与关闭，从云端同步场景后运行，为场景添加不同行驶轨迹，可在运行过程中可查看模块时延、控制台日志、通过监控模块查看 PnC 算法的数据记录，以及各通道内报文信息。</w:t>
            </w:r>
            <w:r>
              <w:rPr>
                <w:rFonts w:ascii="SimSun" w:hAnsi="SimSun" w:eastAsia="SimSun" w:cs="SimSun"/>
                <w:b/>
                <w:color w:val="000000"/>
                <w:sz w:val="22"/>
              </w:rPr>
              <w:t xml:space="preserve">（投标文件中须提供具有CNAS或CMA第三方检测机构出具检测报告复印件及全国认证认可信息公共服务平台查询检测报告的截图。)</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4）测距：仿真中提供工具用于测量两点之间的距离或多个点组成的折线长度总和，可以用于确定一段路程的长度、计算物体之间的距离、确定两个地点之间的距离等。</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r>
      <w:tr>
        <w:trPr>
          <w:trHeight w:val="172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智能座舱台架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06" w:type="dxa"/>
            <w:vAlign w:val="center"/>
            <w:textDirection w:val="lrTb"/>
            <w:noWrap w:val="false"/>
          </w:tcPr>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1.产品要求：</w:t>
              <w:br/>
              <w:t xml:space="preserve">智能座舱实训平台需实现智能座舱双屏显示和域控制器的生产装配、品质检测性能测试等教学实训任务，台架需配备彩色电路与检测端子，需能实现数据测量、故障检测、智能座舱的整体功能测试调试任务。在实验过程中，能通过教学软件，进行故障设置。让学生进行故障排除、需能用万用表或示波器、can分析仪等的表笔插入台架面板检测口进行检测，分析、故障排查。</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2.功能要求：</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(1)台架需配备彩色电路与检测端子，可实现数据测量、故障检测。</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(2)需采用Ubuntu系统，可进行无遮挡式教学实训，通过can矩阵协议，进行智能座舱的can网络实现可编程数据收发，实现智能座舱仪表功能测试。学生能了解车载can网络通讯的数据解析和智能座舱的功能。</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台架需配备专用的教学软件，完成数字化仿真功能。二维、三维动画的形式需能对智能座舱的各个部件的分类、结构、原理、应用进行介绍，需能实现部件三维拆装教学。三维动画根据实物1：1建模，在学习过程中可以任意放大、缩小和多维度旋转，可以观察内部的状态、各机构的结构和工作原理。</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(4)智能座舱需能完成控制座椅调节功能，可通过教学软件在座椅控制界面直接对座椅实时进行座椅的前后移动、后背倾斜等功能。</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(5)台架需能完成中控屏操作测试，偏移测试，触摸点信息记录实时监控功能。</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(6)台架需能完成摄像头显示影像功能，可进行保存画面录制和回放。</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(7)设备需能完成HUD功能，可显示车速、档位、转向。</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(8)需能实现智能座舱车载多媒体功能、网络连接功能、时间校准功能、扬声器功能和扬声器声音大小调节功能、USB播放功能、蓝牙连接功能、手机互联功能、语音识别、双屏互动功能等功能测试。</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(9)实训台需能采用普通220V交流电源，经内部电路变压整流转换成12V直流电源，无需蓄电池，12V直流电源有防短路功能。</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3.技术参数：</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(1)规格尺寸 ≥1600*800*800mm</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(2)电源：支持220V交流电源</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(3)工作温度： -20°～+40°</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(4)输出电压： 12V</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(5)最大输出电流： 15A</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(6)支持短路保护</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(7)支持过载保护</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(8)散热方式：风扇散热（温控型）</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4.电动座椅参数：</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(1)工作电压： 12V</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(2)电动控制：支持前后调节和靠背调节</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(3)支持乘坐检测</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(4)支持安全带佩戴检测</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(5)支持不小于3个位置的座椅记忆</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5.仪表盘参数</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(1)屏幕尺寸：≥7英寸</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(2)触屏支持：≥5点触控</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(3)接口：包括但不限于板载 CAN、RS485、I2C接口、USB串口和MicroSD卡座</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 HUD抬头显示参数</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(1)挡位显示：支持</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(2)转向灯显示：支持</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(3)车速显示：支持</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7.中控大屏参数</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(1)CPU：≥四核 2Ghz, 8G+128G</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(2)内存：≥8GB DDR4</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(3)存储：≥128GB eMMC</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系统：操作系统需为国产自主可控的车规级操作系统。为保证技术路线的前瞻性与兼容性，投标产品须提供与OpenHarmony操作系统进行双向互联互通（如设备发现、能力调用、数据共享）的功能证明，或提供未来升级至OpenHarmony系统的明确路径与承诺。</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(5)网络支持：4G、以太网、Wi-Fi、蓝牙</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(6)电容触摸：10点投射式电容触摸屏</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(7)1*HDMI输出，最大支持4K</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(8)工作温度：-10℃~60℃</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(9)电源：12V-36V电源输入</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8.Ubuntu开发机</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(1)操作系统：Ubuntu系统</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(2)适配ROS机器人操作系统</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9.语音系统参数</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(1)灵敏度：≥-38dBV/Pa</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(2)信噪比：≥65dB</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(3)工作电流：≤500mA</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(4)麦克风数量：≥6颗</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(5)声源定位角度分辨率：≤1°</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(6)声源定位角度精度：±10°</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(7)拾音距离：≥10米</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(8)角度范围：360°</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(9)多词唤醒：支持</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(10)音频降噪：支持</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(11)回声消除：支持</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10.驾驶员监控系统</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(1)摄像头像素：≥30万像素</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(2)支持红外成像</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(3)工作温度：-20℃ ~ 70℃</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(4)应用：驾驶者疲劳检测，手势识别控制</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11.方向盘及踏板参数</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(1)电源：5V</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(2)工作电流：≤500mA</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(3)模式切换：至少支持270°和900°两种模式</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(4)按键输入：提供≥18个输入按键和两个拨片按键，支持自定义按键映射</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(5)连接方式：有线连接</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12.盲区检测系统</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(1)摄像头：≥2颗广角摄像头</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(2)分辨率：≥1920*1080</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(3)信号：AHD信号</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(4)电压：12V~24V</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(5)夜视：支持星光级夜视</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(6)防护：≥IP68防水</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13.实训内容：</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(1)智能座舱和域控制器接线实训；</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(2)智能座舱和域控制器功能测试实训；</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(3)仪表显示：CAN 分析仪模拟演示仪表显示功能，熟悉仪表显示原理和接口定义；</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(4)专用的教学软件：使用二维、三维动画的形式对其台架的各个部件的分类、结构、原理、应用进行介绍，可完成部件三维拆装教学；</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(5)线控底盘台架联动，在智能座舱仪表屏里体现线控底盘的车速、电量等数据解析的实时信息反馈； </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(6)系统设置实训：声音设置，屏幕设置，时间设置，语言设置，蓝牙 WIFI 设置，主题切换设置，恢复出厂设置，版本信息；</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14.基本配置</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(1)仪表显示屏1个、</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(2)中控显示屏1个、</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(3)域控制器1个、</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(4)专用测试设备1个、</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(5)无线鼠标键盘1套、</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(6)故障设置系统1套、</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15.VR编辑器</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支持4K分辨率全景视频素材的导入、编辑、全方位（BOX）预览、包装，及合成处理 ；针对多机位全景的简易拍摄方案，支持全部机位高清素材的同时导入，生成多机位拼接模板，并实现离线拼接、渲染；提供平面预览模式，或佩戴VR显示终端进行实时预览；此外，还支持普通4K视频素材的剪辑、合成。提供字幕编辑模块，可轻松打造自己的模板库。支持视频特效编辑模块，通过打点的方式自由编辑视频特效，支持缩放、位移、透明度、旋转等特技效果。支持VR编辑效果，可一键生成VR模式，头显观看模式下不变形，支持多样调节参数。支持序列帧导入和编辑</w:t>
            </w:r>
            <w:r>
              <w:rPr>
                <w:rFonts w:ascii="SimSun" w:hAnsi="SimSun" w:eastAsia="SimSun" w:cs="SimSun"/>
                <w:color w:val="000000"/>
                <w:sz w:val="22"/>
              </w:rPr>
              <w:t xml:space="preserve">，支持粒子特效，支持三维物件、三维场景的导入和编辑。支持三维物件纹理贴图的改变，可视化的操作逻辑，可轻松修改物件的位置、大小和角度。支持一键全屏编辑的效果，可在窗口模式和全屏模式之间随意切换，提高编辑效率。编辑时支持视点调节和网格水平线，避免因视频不清晰导致的视觉错位。支持VR交互编辑，支持热点触发，图文标注，素材显示与否，三维物件的旋转、缩放和位移等交互编辑功能，具备交互漫游功能，交互菜单控制功能。支持交互编辑与时间线编辑结合，增加交互创作的创新性与可拓展性。  </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(1)支持4K p60 VR视频编辑，并向下兼容；</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(2)采用GPU硬解码方式，效率更高，播放更流畅；</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▲(3)支持多段单镜头素材离线拼接成一个VR全景视频，支持一键对其所有素材，支持一键拖拽所有素材到拼接轨道，支持一键剪辑所有分段素材</w:t>
            </w:r>
            <w:r>
              <w:rPr>
                <w:rFonts w:ascii="SimSun" w:hAnsi="SimSun" w:eastAsia="SimSun" w:cs="SimSun"/>
                <w:b/>
                <w:color w:val="000000"/>
                <w:sz w:val="22"/>
              </w:rPr>
              <w:t xml:space="preserve">（投标文件中需提供软件运行界面截图，清晰展示并佐证所述功能可实现。）</w:t>
            </w:r>
            <w:r>
              <w:rPr>
                <w:rFonts w:ascii="SimSun" w:hAnsi="SimSun" w:eastAsia="SimSun" w:cs="SimSun"/>
                <w:color w:val="000000"/>
                <w:sz w:val="22"/>
              </w:rPr>
              <w:t xml:space="preserve">；</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(4)离线拼接支持多个拼接模式同时导入，支持ptgui等第三方软件制作的模板；</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(5)支持打点输出，支持16:9和2:1输出模式，支持离线拼接和全景视频的打点输出；</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(6)支持普通字幕和VR球形字幕，全景模式下字幕不变形；</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(7)系统具备打点动画制作模块，对导入的编辑资源进行大小、位置、透明度、角度的调节，可自动生成过度动画；</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(8)支持VR转场特效，比如淡入淡出等等，并持续更新；</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▲(9)支持六分面、全景模式、展开模式三种编辑预览模式</w:t>
            </w:r>
            <w:r>
              <w:rPr>
                <w:rFonts w:ascii="SimSun" w:hAnsi="SimSun" w:eastAsia="SimSun" w:cs="SimSun"/>
                <w:b/>
                <w:color w:val="000000"/>
                <w:sz w:val="22"/>
              </w:rPr>
              <w:t xml:space="preserve">（投标文件中需提供软件运行界面截图，清晰展示并佐证所述功能可实现。）</w:t>
            </w:r>
            <w:r>
              <w:rPr>
                <w:rFonts w:ascii="SimSun" w:hAnsi="SimSun" w:eastAsia="SimSun" w:cs="SimSun"/>
                <w:color w:val="000000"/>
                <w:sz w:val="22"/>
              </w:rPr>
              <w:t xml:space="preserve">；</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▲(10)头显实时预览功能：支持主流 VR 头显设备（包括但不限于 HTC、Oculus、Pico、DPVR 等），可实现头显画面与故事版画面实时同步（同步延迟≤100ms）。</w:t>
            </w:r>
            <w:r>
              <w:rPr>
                <w:rFonts w:ascii="SimSun" w:hAnsi="SimSun" w:eastAsia="SimSun" w:cs="SimSun"/>
                <w:b/>
                <w:color w:val="000000"/>
                <w:sz w:val="22"/>
              </w:rPr>
              <w:t xml:space="preserve">（投标文件中需提供软件运行界面截图，清晰展示并佐证所述功能可实现。）</w:t>
            </w:r>
            <w:r>
              <w:rPr>
                <w:rFonts w:ascii="SimSun" w:hAnsi="SimSun" w:eastAsia="SimSun" w:cs="SimSun"/>
                <w:color w:val="000000"/>
                <w:sz w:val="22"/>
              </w:rPr>
              <w:t xml:space="preserve">；</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(11)支持4K监看，以展开模式把画面扩展到另外一台显示器上，支持HDMI和DP预监输出；</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▲(12)支持VR粒子特效，火焰、风雨雷电等等，并能够实时更改粒子特效的大小和范围</w:t>
            </w:r>
            <w:r>
              <w:rPr>
                <w:rFonts w:ascii="SimSun" w:hAnsi="SimSun" w:eastAsia="SimSun" w:cs="SimSun"/>
                <w:b/>
                <w:color w:val="000000"/>
                <w:sz w:val="22"/>
              </w:rPr>
              <w:t xml:space="preserve">（投标文件中需提供软件运行界面截图，清晰展示并佐证所述功能可实现。）</w:t>
            </w:r>
            <w:r>
              <w:rPr>
                <w:rFonts w:ascii="SimSun" w:hAnsi="SimSun" w:eastAsia="SimSun" w:cs="SimSun"/>
                <w:color w:val="000000"/>
                <w:sz w:val="22"/>
              </w:rPr>
              <w:t xml:space="preserve">；</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(13)支持3dmax等三维软件制作的三维动画植入，并能够实时调整三维动画的位置、大小和角度；</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(14)支持三维场景的导入和编辑，可实时更改三维场景物件的位置。大小和角度等；</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(15)支持三维场景和VR全景视频的混合编辑，并能够输出成全景视频进行沉浸式观看；</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(16)提供字幕制作模块，并支持序列帧的导入和编辑，丰富图文效果；</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(17)支持热点触发编辑和控制，支持一键切换场景，触发动画播放，触发物件显示与否等等；</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(18)支持三维场景的导入以及更换场景纹理或者物件贴图；</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(19)系统支持对VR全景视频的剪辑和交互编辑、逻辑编辑，一键生成可交互的VR全景作品；</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(20)系统自带虚拟漫游系统，利用手柄可控制在场景中进行漫游；</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(21)对物件位移、缩放、旋转等基本属性交互控制；</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(22)支持场景的交互组合编辑，具备逻辑编辑器模块；</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(23)无需书写代码，直接输入素材进行编辑便可输出可运行交互程序；</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(24)具备独立自主开发的播放器模块，自带漫游系统；</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(25)系统具备全景视频剪辑模块，离线视频拼接模块、三维场景编辑模块、VR交互编辑模块于一身，无需额外学习多款软件；</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(26)采用传统非编软件的编辑方式，降低学习成本，提高编辑效率，操作简单易上手。</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r>
      <w:tr>
        <w:trPr>
          <w:trHeight w:val="147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智能传感器装配调试台架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06" w:type="dxa"/>
            <w:vAlign w:val="center"/>
            <w:textDirection w:val="lrTb"/>
            <w:noWrap w:val="false"/>
          </w:tcPr>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实训台介绍</w:t>
              <w:br/>
              <w:t xml:space="preserve">该智能传感器装配调试台架用于理论教学、实训及考核，台架通过部署毫米波雷达、超声波雷达、激光雷达、相机、组合导航实现智能传感器的原理介绍、结构展示、装配、故障诊断、数据检测及考核功能。包含毫米波雷达、超声波雷达、激光雷达、相机、组合导航，配套软件，仪器仪表工具以及其他配套模块等。</w:t>
              <w:br/>
              <w:t xml:space="preserve">1、整体参数</w:t>
              <w:br/>
              <w:t xml:space="preserve">（1）尺寸≥1100*1000*1500mm</w:t>
              <w:br/>
              <w:t xml:space="preserve">（2）接口：不少于3*USB,1*HDMI,1*网口</w:t>
              <w:br/>
              <w:t xml:space="preserve">（3）操作输入：配备显示器和键盘</w:t>
              <w:br/>
              <w:t xml:space="preserve">（4）移动：采用福马轮，通过调节螺母切换移动和固定状态</w:t>
              <w:br/>
              <w:t xml:space="preserve">（5）电源：22</w:t>
            </w:r>
            <w:r>
              <w:rPr>
                <w:rFonts w:ascii="SimSun" w:hAnsi="SimSun" w:eastAsia="SimSun" w:cs="SimSun"/>
                <w:color w:val="000000"/>
                <w:sz w:val="22"/>
              </w:rPr>
              <w:t xml:space="preserve">0V </w:t>
              <w:br/>
              <w:t xml:space="preserve">（6）功能特点：</w:t>
              <w:br/>
              <w:t xml:space="preserve">     1）提供激光雷达、IMU、毫米波雷达、超声波雷达、摄像头传感器，可以学习智能网联传感器基础知识</w:t>
              <w:br/>
              <w:t xml:space="preserve">     2）台架配备处理器、键鼠、显示器，可以方便地进行传感器调试测试。</w:t>
              <w:br/>
              <w:t xml:space="preserve">     3）传感器安装在台架表面，可以学习传感器安装方式，通讯线束定义等知识。</w:t>
              <w:br/>
              <w:t xml:space="preserve">2、超声波雷达</w:t>
              <w:br/>
              <w:t xml:space="preserve">（1）超声波探头数量：≥4个</w:t>
              <w:br/>
              <w:t xml:space="preserve">（2）通讯接口：UART</w:t>
              <w:br/>
              <w:t xml:space="preserve">（3）工作电压：9~36V</w:t>
              <w:br/>
              <w:t xml:space="preserve">（4）平均电流：≤25mA</w:t>
              <w:br/>
              <w:t xml:space="preserve">（5）盲区距离：≤25cm</w:t>
              <w:br/>
              <w:t xml:space="preserve">（6）平面物体量程：25~450cm</w:t>
              <w:br/>
              <w:t xml:space="preserve">（7）参考角度：≥60°</w:t>
              <w:br/>
              <w:t xml:space="preserve">（</w:t>
            </w:r>
            <w:r>
              <w:rPr>
                <w:rFonts w:ascii="SimSun" w:hAnsi="SimSun" w:eastAsia="SimSun" w:cs="SimSun"/>
                <w:color w:val="000000"/>
                <w:sz w:val="22"/>
              </w:rPr>
              <w:t xml:space="preserve">8）工作周期：300ms</w:t>
              <w:br/>
              <w:t xml:space="preserve">（9）温度补偿：补偿</w:t>
              <w:br/>
              <w:t xml:space="preserve">（10）响应时间：300~1500ms</w:t>
              <w:br/>
              <w:t xml:space="preserve">（11）常温测量精度：±（1+S*0.3%）cm</w:t>
              <w:br/>
              <w:t xml:space="preserve">3、毫米波雷达</w:t>
              <w:br/>
              <w:t xml:space="preserve">（1）调制方式：FMCW</w:t>
              <w:br/>
              <w:t xml:space="preserve">（2）测距范围：0.1~20m</w:t>
              <w:br/>
              <w:t xml:space="preserve">（3）距离测量分辨率：0.2m</w:t>
              <w:br/>
              <w:t xml:space="preserve">（4）距离测量精度：±0.1m</w:t>
              <w:br/>
              <w:t xml:space="preserve">（5）角精度：±1°</w:t>
              <w:br/>
              <w:t xml:space="preserve">（6）速度范围：-60km/h ~ +60km/h</w:t>
              <w:br/>
              <w:t xml:space="preserve">（7）速度分辨率：0.36km/s</w:t>
              <w:br/>
              <w:t xml:space="preserve">（8）速度精度：±0.18m/s</w:t>
              <w:br/>
              <w:t xml:space="preserve">（9）天线通道数：3TX/4RX=12通道</w:t>
              <w:br/>
              <w:t xml:space="preserve">（10）循环周期：40ms</w:t>
              <w:br/>
              <w:t xml:space="preserve">（11）俯仰波束：1</w:t>
            </w:r>
            <w:r>
              <w:rPr>
                <w:rFonts w:ascii="SimSun" w:hAnsi="SimSun" w:eastAsia="SimSun" w:cs="SimSun"/>
                <w:color w:val="000000"/>
                <w:sz w:val="22"/>
              </w:rPr>
              <w:t xml:space="preserve">20°（-6dB）</w:t>
              <w:br/>
              <w:t xml:space="preserve">（12）方位波束：120°（-6dB）</w:t>
              <w:br/>
              <w:t xml:space="preserve">（13）雷达发射频率：77Ghz</w:t>
              <w:br/>
              <w:t xml:space="preserve">（14）电源：9~24VDC</w:t>
              <w:br/>
              <w:t xml:space="preserve">（15）功耗：2.5W</w:t>
              <w:br/>
              <w:t xml:space="preserve">（16）工作温度：-40℃~+85℃</w:t>
              <w:br/>
              <w:t xml:space="preserve">（17）储存温度：-40℃~+105℃</w:t>
              <w:br/>
              <w:t xml:space="preserve">（18）防护等级：IP67</w:t>
              <w:br/>
              <w:t xml:space="preserve">（19）接口:CAN</w:t>
              <w:br/>
              <w:t xml:space="preserve">4、激光雷达</w:t>
              <w:br/>
              <w:t xml:space="preserve">（1）尺寸：≥70*40*30mm</w:t>
              <w:br/>
              <w:t xml:space="preserve">（2）雷达类型：固态继电器</w:t>
              <w:br/>
              <w:t xml:space="preserve">（3）功耗：3-5W</w:t>
              <w:br/>
              <w:t xml:space="preserve">（4）强光性能：80000Lux</w:t>
              <w:br/>
              <w:t xml:space="preserve">（5）视场角：76°（水平）*32°（垂直）</w:t>
              <w:br/>
              <w:t xml:space="preserve">（6）工作环境温度：-10~+55℃</w:t>
              <w:br/>
              <w:t xml:space="preserve">（7）精度：测量距</w:t>
            </w:r>
            <w:r>
              <w:rPr>
                <w:rFonts w:ascii="SimSun" w:hAnsi="SimSun" w:eastAsia="SimSun" w:cs="SimSun"/>
                <w:color w:val="000000"/>
                <w:sz w:val="22"/>
              </w:rPr>
              <w:t xml:space="preserve">离：0.25-2m，测量误差：±2cm；测量距离2-8m，测量误差：±1%*测量距离</w:t>
              <w:br/>
              <w:t xml:space="preserve">（8）量程：0.25~3m@10%反射率；0.25~8m@90%反射率</w:t>
              <w:br/>
              <w:t xml:space="preserve">（9）帧率：35Hz/可变</w:t>
              <w:br/>
              <w:t xml:space="preserve">（10）最小分辨率:1cm</w:t>
              <w:br/>
              <w:t xml:space="preserve">（11）通讯接口：LAN</w:t>
              <w:br/>
              <w:t xml:space="preserve">5、摄像头</w:t>
              <w:br/>
              <w:t xml:space="preserve">（1）传感器：性能：有效像素≥200 万，信噪比≥39dB，低照度≤0.0002lux，动态范围≥72dB，支持自动曝光 / 白平衡 / 增益调节</w:t>
              <w:br/>
              <w:t xml:space="preserve">（2）速度：≥1920*1080 30帧/秒</w:t>
              <w:br/>
              <w:t xml:space="preserve">（3）信噪比：≥39dB</w:t>
              <w:br/>
              <w:t xml:space="preserve">（4）工作电压：5V</w:t>
              <w:br/>
              <w:t xml:space="preserve">（5）工作电流：≥</w:t>
            </w:r>
            <w:r>
              <w:rPr>
                <w:rFonts w:ascii="SimSun" w:hAnsi="SimSun" w:eastAsia="SimSun" w:cs="SimSun"/>
                <w:color w:val="000000"/>
                <w:sz w:val="22"/>
              </w:rPr>
              <w:t xml:space="preserve">160-220mA</w:t>
              <w:br/>
              <w:t xml:space="preserve">（6）分辨率：≥640*480\1280*720\11280*1024\1920*1080</w:t>
              <w:br/>
              <w:t xml:space="preserve">（7）输出格式：MJPG\YUY2</w:t>
              <w:br/>
              <w:t xml:space="preserve">（8）影像处理：自动曝光AEC\自动白平衡AEB\自动增益AGC</w:t>
              <w:br/>
              <w:t xml:space="preserve">（9）接口：USB2.0 免驱动</w:t>
              <w:br/>
              <w:t xml:space="preserve">（10）工作温度：≤-30~70℃</w:t>
              <w:br/>
              <w:t xml:space="preserve">（11）低照度：≤0.0002 lux</w:t>
              <w:br/>
              <w:t xml:space="preserve">（12）动态范围：≤72dB</w:t>
              <w:br/>
              <w:t xml:space="preserve">6、IMU</w:t>
              <w:br/>
              <w:t xml:space="preserve">（1）基本参数：</w:t>
              <w:br/>
              <w:t xml:space="preserve">     1）波特率：4800bps-921699bps可选</w:t>
              <w:br/>
              <w:t xml:space="preserve">     2）输出内容：片上时间、3轴加速度、3轴角速度、3轴磁场</w:t>
            </w:r>
            <w:r>
              <w:rPr>
                <w:rFonts w:ascii="SimSun" w:hAnsi="SimSun" w:eastAsia="SimSun" w:cs="SimSun"/>
                <w:color w:val="000000"/>
                <w:sz w:val="22"/>
              </w:rPr>
              <w:t xml:space="preserve">、3轴角度、四元数、端口状态、气压、高度</w:t>
              <w:br/>
              <w:t xml:space="preserve">     3）输出速率：默认10Hz，可选0.2Hz-200Hz</w:t>
              <w:br/>
              <w:t xml:space="preserve">     4）启动时间：1000ms</w:t>
              <w:br/>
              <w:t xml:space="preserve">     5）工作温度：-40℃~85℃</w:t>
              <w:br/>
              <w:t xml:space="preserve">     6）储存温度：-40℃~100℃</w:t>
              <w:br/>
              <w:t xml:space="preserve">     7）工作电压：5V或3.3V</w:t>
              <w:br/>
              <w:t xml:space="preserve">     8）工作电流：≤15mA</w:t>
              <w:br/>
              <w:t xml:space="preserve">（2）加速度计参数：</w:t>
              <w:br/>
              <w:t xml:space="preserve">     1）量程：±16g</w:t>
              <w:br/>
              <w:t xml:space="preserve">     2）分辨率：0.0005（g/LSB）</w:t>
              <w:br/>
              <w:t xml:space="preserve">     3）RMS噪声：0.75~1mg-rms</w:t>
              <w:br/>
              <w:t xml:space="preserve">     4）静止零漂：±20-40mg</w:t>
              <w:br/>
              <w:t xml:space="preserve">    </w:t>
            </w:r>
            <w:r>
              <w:rPr>
                <w:rFonts w:ascii="SimSun" w:hAnsi="SimSun" w:eastAsia="SimSun" w:cs="SimSun"/>
                <w:color w:val="000000"/>
                <w:sz w:val="22"/>
              </w:rPr>
              <w:t xml:space="preserve"> 5）温漂：±0.15mg/℃</w:t>
              <w:br/>
              <w:t xml:space="preserve">     6）带宽：5-256Hz</w:t>
              <w:br/>
              <w:t xml:space="preserve">（3）陀螺仪参数：</w:t>
              <w:br/>
              <w:t xml:space="preserve">     1）量程：±2000°/s</w:t>
              <w:br/>
              <w:t xml:space="preserve">     2）分辨率：0.061（°/s）/LSB</w:t>
              <w:br/>
              <w:t xml:space="preserve">     3）RMS噪声：0.028~0.07（°/s）-rms</w:t>
              <w:br/>
              <w:t xml:space="preserve">     4）静止零漂：±0.5~1°/s</w:t>
              <w:br/>
              <w:t xml:space="preserve">     5）温漂：±0.002~0.015（°/s）/℃</w:t>
              <w:br/>
              <w:t xml:space="preserve">     6）宽带：5-256Hz</w:t>
              <w:br/>
              <w:t xml:space="preserve">（4）磁力计参数：</w:t>
              <w:br/>
              <w:t xml:space="preserve">     1）量程：±2Gauss</w:t>
              <w:br/>
              <w:t xml:space="preserve">     2）分辨率：0.0667mGauss/LSB</w:t>
              <w:br/>
              <w:t xml:space="preserve">（5）气压计参数</w:t>
            </w:r>
            <w:r>
              <w:rPr>
                <w:rFonts w:ascii="SimSun" w:hAnsi="SimSun" w:eastAsia="SimSun" w:cs="SimSun"/>
                <w:color w:val="000000"/>
                <w:sz w:val="22"/>
              </w:rPr>
              <w:t xml:space="preserve">：</w:t>
              <w:br/>
              <w:t xml:space="preserve">     1）量程：300~1100hPa</w:t>
              <w:br/>
              <w:t xml:space="preserve">     2）RMS噪声：0.5Pa-RMS</w:t>
              <w:br/>
              <w:t xml:space="preserve">     3）相对精度：±0.06hPa</w:t>
              <w:br/>
              <w:t xml:space="preserve">（6）俯仰角、横滚角参数：</w:t>
              <w:br/>
              <w:t xml:space="preserve">     1）量程：X：±180°，Y：±90°</w:t>
              <w:br/>
              <w:t xml:space="preserve">     2）倾角精度：0.1°（静态），0.5°（动态）</w:t>
              <w:br/>
              <w:t xml:space="preserve">     3）分辨率：0.0055°</w:t>
              <w:br/>
              <w:t xml:space="preserve">     4）温漂：±0.5~1°</w:t>
              <w:br/>
              <w:t xml:space="preserve">（7）航向角参数：</w:t>
              <w:br/>
              <w:t xml:space="preserve">     1）量程：Z：±180°</w:t>
              <w:br/>
              <w:t xml:space="preserve">     2）航向精度：1°</w:t>
              <w:br/>
              <w:t xml:space="preserve">     3）分辨率：0.0055°</w:t>
              <w:br/>
              <w:t xml:space="preserve">7、固定工作站</w:t>
              <w:br/>
              <w:t xml:space="preserve">（1）处理器：不低于8核</w:t>
            </w:r>
            <w:r>
              <w:rPr>
                <w:rFonts w:ascii="SimSun" w:hAnsi="SimSun" w:eastAsia="SimSun" w:cs="SimSun"/>
                <w:color w:val="000000"/>
                <w:sz w:val="22"/>
              </w:rPr>
              <w:t xml:space="preserve"> 3.40GHz</w:t>
              <w:br/>
              <w:t xml:space="preserve">（2）内存：≥16G</w:t>
              <w:br/>
              <w:t xml:space="preserve">（3）硬盘：≥512G SSD</w:t>
              <w:br/>
              <w:t xml:space="preserve">（4）外设接口：</w:t>
              <w:br/>
              <w:t xml:space="preserve">     1）网口：RJ45 2.5G网口 *1</w:t>
              <w:br/>
              <w:t xml:space="preserve">     2）USB 3.2 Gen2 Type-C *1</w:t>
              <w:br/>
              <w:t xml:space="preserve">     3）USB 3.2 GEN2 Type-A *2</w:t>
              <w:br/>
              <w:t xml:space="preserve">     4）USB 2.0 Type-A *2</w:t>
              <w:br/>
              <w:t xml:space="preserve">     5）USB4 TypeC-C *1</w:t>
              <w:br/>
              <w:t xml:space="preserve">     6）HDMI *2</w:t>
              <w:br/>
              <w:t xml:space="preserve">（5）电源：DC 19V</w:t>
              <w:br/>
              <w:t xml:space="preserve">（6）显示器：≥27寸 IPS显示器</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8、实训软件平台基于ROS系统开发，软件界面整合了汽车智能传感器实训功能，内嵌传感器数据可视化平台和传感器数据包回放工具。</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9、激光雷达应用提供激光雷达与摄像头联合标定工具、八叉树算法、点云聚类算法，3维点云建图算法实训。</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10、摄像头应用提供摄像头标定工具、真实道路的车辆识别功能实训，车道线识别功能实训、行人识别功能实训。</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11、提供传感器上位机程序，可以学习传感器原厂的配置和调试方法。</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12、自研传感器台架实训平台软件；</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▲13、故障模拟：通过故障诊断系统软件界面，故障设置按钮，灵活设置激光雷达、摄像头、组合导航、毫米波雷达、超声波雷达等传感器的故障，模拟车辆传感器故障场景；</w:t>
            </w:r>
            <w:r>
              <w:rPr>
                <w:rFonts w:ascii="SimSun" w:hAnsi="SimSun" w:eastAsia="SimSun" w:cs="SimSun"/>
                <w:b/>
                <w:color w:val="000000"/>
                <w:sz w:val="22"/>
              </w:rPr>
              <w:t xml:space="preserve">（投标文件中需提供软件运行界面截图，清晰展示摄像头电源故障、毫米波雷达电源故障、毫米波雷达通讯故障、超声波雷达电源故障、超声波雷达通讯故障、组合导航电源故障、组合导航通信故障、激光雷达电源故障的模拟并佐证所述功能可实现。）</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14、故障恢复：通过故障诊断系统软件界面，点击故障恢复按钮，可选择性或者快速恢复激光雷达、摄像头、组合导航、毫米波雷达、超声波雷达等传感器至正常工作状态，强化车辆传感器故障处理流程的认知；</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15、故障诊断面板：通过诊断面板，检测激光雷达、摄像头、组合导航、毫米波雷达、超声波雷达等传感器模块的电压，排查传感器电源故障、通信故障，模拟车辆传感器的维修场景；</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16、虚拟机快照：通过VMware虚拟机平台，创建虚拟机快照，可以在关键时刻备份整个虚拟机的状态，以便在需要时（人为错误等潜在威胁）快速恢复，减少停机时间。</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提供IMU模块数据采集标定工具，可以可视化IMU数据，录制IMU数据包，计算IMU的allan方差，自动分析各个轴数据的速度随机游走、零偏不稳定性、角度随机游走数值；提供标定补偿工具，可以使用多位置法计算比例因子和零偏数值补偿静态误差，可以使用卡尔曼滤波补偿过程噪声，并可视化展示原始数据和补偿后数据的图像。</w:t>
            </w:r>
            <w:r>
              <w:rPr>
                <w:rFonts w:ascii="SimSun" w:hAnsi="SimSun" w:eastAsia="SimSun" w:cs="SimSun"/>
                <w:b/>
                <w:color w:val="000000"/>
                <w:sz w:val="22"/>
              </w:rPr>
              <w:t xml:space="preserve">（投标文件中需提供软件运行界面截图，清晰展示并佐证所述功能可实现。）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r>
      <w:tr>
        <w:trPr>
          <w:trHeight w:val="2085"/>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线控底盘教学实训台架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06" w:type="dxa"/>
            <w:vAlign w:val="center"/>
            <w:textDirection w:val="lrTb"/>
            <w:noWrap w:val="false"/>
          </w:tcPr>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实训台介绍</w:t>
              <w:br/>
              <w:t xml:space="preserve">智能网联汽车底盘线控实训教学系统由底盘线控实训台构成。底盘线控实训台配有：线控转向系统、线控驱动系统、线控制动系统等组成，可深入进行线控技术学习和实训。</w:t>
              <w:br/>
              <w:t xml:space="preserve">实训台配置</w:t>
              <w:br/>
              <w:t xml:space="preserve">1、线控转向系统参数：</w:t>
              <w:br/>
              <w:t xml:space="preserve">（1）结构形式：C-EPS</w:t>
              <w:br/>
              <w:t xml:space="preserve">（2）最大供电电流：65A@DC 12V</w:t>
              <w:br/>
              <w:t xml:space="preserve">（3）工作电压：DC 12V</w:t>
              <w:br/>
              <w:t xml:space="preserve">（4）最大输出扭矩：50Nm</w:t>
              <w:br/>
              <w:t xml:space="preserve">（5）转向轴最大载荷（参考）：700kg</w:t>
              <w:br/>
              <w:t xml:space="preserve">（6）防护等级：IP67（EPS），IP52（ECU）</w:t>
              <w:br/>
              <w:t xml:space="preserve">（7）传感器类型：TAS</w:t>
              <w:br/>
              <w:t xml:space="preserve">（8）角度分辨率：≥0.1°</w:t>
              <w:br/>
              <w:t xml:space="preserve">（9）角度控制精度：1°</w:t>
              <w:br/>
            </w:r>
            <w:r>
              <w:rPr>
                <w:rFonts w:ascii="SimSun" w:hAnsi="SimSun" w:eastAsia="SimSun" w:cs="SimSun"/>
                <w:color w:val="000000"/>
                <w:sz w:val="22"/>
              </w:rPr>
              <w:t xml:space="preserve">（10）额定电压：DC 12V</w:t>
              <w:br/>
              <w:t xml:space="preserve">（11）额定功率：≥400W</w:t>
              <w:br/>
              <w:t xml:space="preserve">（12）额定电流：≥65A</w:t>
              <w:br/>
              <w:t xml:space="preserve">（13）额定转速：1100rpm</w:t>
              <w:br/>
              <w:t xml:space="preserve">2、线控驱动系统参数：</w:t>
              <w:br/>
              <w:t xml:space="preserve">（1）驱动电机：</w:t>
              <w:br/>
              <w:t xml:space="preserve">     1）额定电压：DC 60V</w:t>
              <w:br/>
              <w:t xml:space="preserve">     2）额定功率：2.2Kw</w:t>
              <w:br/>
              <w:t xml:space="preserve">     3）电机级数：4</w:t>
              <w:br/>
              <w:t xml:space="preserve">     4）绝缘等级：H</w:t>
              <w:br/>
              <w:t xml:space="preserve">     5）防护等级：IP55</w:t>
              <w:br/>
              <w:t xml:space="preserve">（2）电机控制器：</w:t>
              <w:br/>
              <w:t xml:space="preserve">     1）控制器启动电压：≥35V</w:t>
              <w:br/>
              <w:t xml:space="preserve">     2）控制器效率：额定条件驱动器效率≥98%</w:t>
              <w:br/>
              <w:t xml:space="preserve">     3）通讯方式：CAN通讯</w:t>
              <w:br/>
              <w:t xml:space="preserve">     4）储存温度：-40℃</w:t>
            </w:r>
            <w:r>
              <w:rPr>
                <w:rFonts w:ascii="SimSun" w:hAnsi="SimSun" w:eastAsia="SimSun" w:cs="SimSun"/>
                <w:color w:val="000000"/>
                <w:sz w:val="22"/>
              </w:rPr>
              <w:t xml:space="preserve">~85℃</w:t>
              <w:br/>
              <w:t xml:space="preserve">     5）工作环境温度-30℃~+55℃</w:t>
              <w:br/>
              <w:t xml:space="preserve">     6）防护等级：IP66</w:t>
              <w:br/>
              <w:t xml:space="preserve">     7）湿度：5%~95%RH，非凝露</w:t>
              <w:br/>
              <w:t xml:space="preserve">     8）输入电压范围：40V-90V（DC）</w:t>
              <w:br/>
              <w:t xml:space="preserve">     9）最大输出电流：275A（AC）</w:t>
              <w:br/>
              <w:t xml:space="preserve">     10）额定输出电流：85A（AC）</w:t>
              <w:br/>
              <w:t xml:space="preserve">3、线控制动系统参数：</w:t>
              <w:br/>
              <w:t xml:space="preserve">（1）制动方式：液压制动</w:t>
              <w:br/>
              <w:t xml:space="preserve">（2）通讯方式：CAN</w:t>
              <w:br/>
              <w:t xml:space="preserve">（3）电机额定功率：≥450W</w:t>
              <w:br/>
              <w:t xml:space="preserve">（4）电机最大电流：≥50A</w:t>
              <w:br/>
              <w:t xml:space="preserve">（5）额定电压：≥12V</w:t>
              <w:br/>
              <w:t xml:space="preserve">（6）主缸最大压力：10Mpa</w:t>
              <w:br/>
              <w:t xml:space="preserve">（7）制动压力控制精度：0.2Mpa</w:t>
              <w:br/>
            </w:r>
            <w:r>
              <w:rPr>
                <w:rFonts w:ascii="SimSun" w:hAnsi="SimSun" w:eastAsia="SimSun" w:cs="SimSun"/>
                <w:color w:val="000000"/>
                <w:sz w:val="22"/>
              </w:rPr>
              <w:t xml:space="preserve">4、固定工作站：</w:t>
              <w:br/>
              <w:t xml:space="preserve">（1）处理器：≥8 核 16 线程，主频≥3.3GHz，三级缓存≥16MB，支持 64 位运算</w:t>
              <w:br/>
              <w:t xml:space="preserve">（2）GPU：支持 OpenCL 3.0 及以上，显存≥4GB，核心频率≥1.6GHz，支持图形加速运算</w:t>
              <w:br/>
              <w:t xml:space="preserve">（3）内存：≥16G</w:t>
              <w:br/>
              <w:t xml:space="preserve">（4）硬盘：≥512G SSD</w:t>
              <w:br/>
              <w:t xml:space="preserve">（5）外设接口：</w:t>
              <w:br/>
              <w:t xml:space="preserve">     1）网口：RJ45 2.5G网口 *1</w:t>
              <w:br/>
              <w:t xml:space="preserve">     2）USB 3.2 Gen2 Type-C *1</w:t>
              <w:br/>
              <w:t xml:space="preserve">     3）USB 3.2 GEN2 Type-A *2</w:t>
              <w:br/>
              <w:t xml:space="preserve">     4）USB 2.0 Type-A *2</w:t>
              <w:br/>
            </w:r>
            <w:r>
              <w:rPr>
                <w:rFonts w:ascii="SimSun" w:hAnsi="SimSun" w:eastAsia="SimSun" w:cs="SimSun"/>
                <w:color w:val="000000"/>
                <w:sz w:val="22"/>
              </w:rPr>
              <w:t xml:space="preserve">     5）USB4 TypeC-C *1</w:t>
              <w:br/>
              <w:t xml:space="preserve">     6）HDMI *2</w:t>
              <w:br/>
              <w:t xml:space="preserve">（6）电源：DC 19V</w:t>
              <w:br/>
              <w:t xml:space="preserve">（7）显示器：≥32寸 IPS显示器</w:t>
              <w:br/>
              <w:t xml:space="preserve">5、功能特点：</w:t>
              <w:br/>
              <w:t xml:space="preserve">（1）台架配备处理器、键鼠、显示器，可以方便地进行传感器调试测试。</w:t>
              <w:br/>
              <w:t xml:space="preserve">（2）配备故障诊断系统，可以方便地设置及恢复线控底盘台架的故障。</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█（3）提供自研的软件线控底盘软件平台，可以采集线控底盘数据，并在上位机中对底盘数据进行可视化。</w:t>
            </w:r>
            <w:r>
              <w:rPr>
                <w:rFonts w:ascii="SimSun" w:hAnsi="SimSun" w:eastAsia="SimSun" w:cs="SimSun"/>
                <w:b/>
                <w:color w:val="000000"/>
                <w:sz w:val="22"/>
              </w:rPr>
              <w:t xml:space="preserve">（投标文件中需提供软件操作视频，清晰展示并佐证所述功能可实现。）</w:t>
              <w:br/>
            </w:r>
            <w:r>
              <w:rPr>
                <w:rFonts w:ascii="SimSun" w:hAnsi="SimSun" w:eastAsia="SimSun" w:cs="SimSun"/>
                <w:color w:val="000000"/>
                <w:sz w:val="22"/>
              </w:rPr>
              <w:t xml:space="preserve">（4）可以切换手动控制和指令控制两种模式，在手动控制模式中可以通过油门刹车踏板以及方向盘直接控制线控底盘运行；在指令控制模式中可以通过编写程序控制线控线控底盘运行。</w:t>
              <w:br/>
              <w:t xml:space="preserve">（5）可以采集油门踏板、刹车踏板数据，并在程序中标定油门踏板和刹车踏板与电机控制量的对应关系。</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（6）提供自定义的按钮开关，可以通过编程采集按钮的信号，实现灯光系统控制，线控模式切换等功能应用。</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▲（7）集成线控底盘硬件在环仿真平台，仿真平台中提供汽车3D模型和城市道路场景，用户可以通过方向盘、油门踏板、刹车踏板控制仿真软件中的车辆运动，并且可以通过编程设置车辆的动力学参数。</w:t>
            </w:r>
            <w:r>
              <w:rPr>
                <w:rFonts w:ascii="SimSun" w:hAnsi="SimSun" w:eastAsia="SimSun" w:cs="SimSun"/>
                <w:b/>
                <w:color w:val="000000"/>
                <w:sz w:val="22"/>
              </w:rPr>
              <w:t xml:space="preserve">（投标文件中需提供产品图片，清晰展示并佐证所述功能可实现。）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r>
    </w:tbl>
    <w:p>
      <w:pPr>
        <w:ind w:left="0" w:right="0" w:firstLine="422"/>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2"/>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numPr>
          <w:ilvl w:val="0"/>
          <w:numId w:val="6"/>
        </w:numPr>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其他要求</w:t>
      </w:r>
      <w:r/>
    </w:p>
    <w:p>
      <w:pPr>
        <w:ind w:left="0" w:right="0" w:firstLine="44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1、质保要求</w:t>
      </w:r>
      <w:r/>
    </w:p>
    <w:p>
      <w:pPr>
        <w:ind w:left="0" w:right="0" w:firstLine="44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（1）项目验收交付使用后，投标人必须承诺对本项目软件、硬件设备提供5年及以上免费维保、技术维护和升级完善服务。</w:t>
      </w:r>
      <w:r/>
    </w:p>
    <w:p>
      <w:pPr>
        <w:ind w:left="0" w:right="0" w:firstLine="44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（2）投标人须有完善的售后服务体系，提供报修电话（移动电话及固定电话），必须24小时开通。</w:t>
      </w:r>
      <w:r/>
    </w:p>
    <w:p>
      <w:pPr>
        <w:ind w:left="0" w:right="0" w:firstLine="44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（3）保修期内，所有硬件设备的维修及配件均为免费。</w:t>
      </w:r>
      <w:r/>
    </w:p>
    <w:p>
      <w:pPr>
        <w:ind w:left="0" w:right="0" w:firstLine="44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2、中标单位必须服从现场管理，对设备安装工序和材料及时报验，原材料及配件必须符合国家标准，经复试合格后方可使用，不合格的检测费自行承担。</w:t>
      </w:r>
      <w:r/>
    </w:p>
    <w:p>
      <w:pPr>
        <w:ind w:left="0" w:right="0" w:firstLine="44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3、安装过程中产生的垃圾及时清运，费用由中标单位承担。</w:t>
      </w:r>
      <w:r/>
    </w:p>
    <w:p>
      <w:pPr>
        <w:ind w:left="0" w:right="0" w:firstLine="44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安装过程中，中标单位需采取措施保护现场及周边相关物品、设施等，因中标单位的不规范操作、误操作等原因造成相关设施、管线等的损坏、设备的停用等后果均由中标单位承担，由中标单位原样修复并自行承担相关费用。</w:t>
      </w:r>
      <w:r/>
    </w:p>
    <w:p>
      <w:pPr>
        <w:ind w:left="0" w:right="0" w:firstLine="44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投标人应彻底自行踏勘现场，以充分了解项目位置、交通状况以及工作范围等任何足以影响其报价的情况。任何忽视或误解项目基本情况，而使采购人在项目实施过程中蒙受的损失，将由投标人进行赔偿。安装现场实际情况：现状道路通畅；交通便利，有道路通入安装现场。</w:t>
      </w:r>
      <w:r/>
    </w:p>
    <w:p>
      <w:pPr>
        <w:ind w:left="0" w:right="0" w:firstLine="44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6、本次采购全部内容为“交钥匙”项目，所有的费用等均包含在报价内；请各投标供应商认真考虑各种风险。除合同另有规定之外，采购人不再另行支付。</w:t>
      </w:r>
      <w:r/>
    </w:p>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br w:type="page" w:clear="all"/>
      </w:r>
      <w:r/>
    </w:p>
    <w:p>
      <w:pPr>
        <w:pStyle w:val="648"/>
        <w:ind w:left="0" w:right="0" w:firstLine="723"/>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 评标方法及评标标准</w:t>
      </w:r>
      <w:r/>
    </w:p>
    <w:p>
      <w:pPr>
        <w:ind w:left="0" w:right="0" w:firstLine="562"/>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一、评标方法</w:t>
      </w:r>
      <w:r/>
    </w:p>
    <w:p>
      <w:pPr>
        <w:ind w:left="0" w:right="0" w:firstLine="560"/>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供应商为排名第一的中标候选人。</w:t>
      </w:r>
      <w:r/>
    </w:p>
    <w:p>
      <w:pPr>
        <w:ind w:left="0" w:right="0" w:firstLine="562"/>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二、政府采购政策功能落实</w:t>
      </w:r>
      <w:r/>
    </w:p>
    <w:p>
      <w:pPr>
        <w:ind w:left="0" w:right="0" w:firstLine="56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1、中小企业</w:t>
      </w:r>
      <w:r/>
    </w:p>
    <w:p>
      <w:pPr>
        <w:ind w:left="0" w:right="0" w:firstLine="56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（1）供应商需按照招标文件的要求提供相应的《中小企业声明函》。</w:t>
      </w:r>
      <w:r/>
    </w:p>
    <w:p>
      <w:pPr>
        <w:ind w:left="0" w:right="0" w:firstLine="56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（2）企业标准请参照《关于印发中小企业划型标准规定的通知》（工信部联企业[2011]300号）文件规定自行填写。</w:t>
      </w:r>
      <w:r/>
    </w:p>
    <w:p>
      <w:pPr>
        <w:ind w:left="0" w:right="0" w:firstLine="56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2、残疾人福利单位</w:t>
      </w:r>
      <w:r/>
    </w:p>
    <w:p>
      <w:pPr>
        <w:ind w:left="0" w:right="0" w:firstLine="56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（1）本项目对残疾人福利性单位视同小型、微型企业。</w:t>
      </w:r>
      <w:r/>
    </w:p>
    <w:p>
      <w:pPr>
        <w:ind w:left="0" w:right="0" w:firstLine="56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（2）残疾人福利单位需按照采购文件的要求提供《残疾人福利性单位声明函》。</w:t>
      </w:r>
      <w:r/>
    </w:p>
    <w:p>
      <w:pPr>
        <w:ind w:left="0" w:right="0" w:firstLine="56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（3）残疾人福利单位标准请参照《关于促进残疾人就业政府采购政策的通知》（财库〔2017〕141号）。</w:t>
      </w:r>
      <w:r/>
    </w:p>
    <w:p>
      <w:pPr>
        <w:ind w:left="0" w:right="0" w:firstLine="56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3、监狱和戒毒企业</w:t>
      </w:r>
      <w:r/>
    </w:p>
    <w:p>
      <w:pPr>
        <w:ind w:left="0" w:right="0" w:firstLine="56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（1）本项目对监狱和戒毒企业（简称监狱企业）视同小型、微型企业。</w:t>
      </w:r>
      <w:r/>
    </w:p>
    <w:p>
      <w:pPr>
        <w:ind w:left="0" w:right="0" w:firstLine="56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（2）监狱企业参加政府采购活动时，需提供由省级以上监狱管理局、戒毒管理局(含新疆生产建设兵团)出具的属于监狱企业的证明文件。</w:t>
      </w:r>
      <w:r/>
    </w:p>
    <w:p>
      <w:pPr>
        <w:ind w:left="0" w:right="0" w:firstLine="56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（3）监狱企业标准请参照《关于政府采购支持监狱企业发展有关问题的通知》（财库[2014]68号）。</w:t>
      </w:r>
      <w:r/>
    </w:p>
    <w:p>
      <w:pPr>
        <w:ind w:left="0" w:right="0" w:firstLine="56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4、残疾人福利单位、监狱企业属于小型、微型企业的，不重复享受政策。</w:t>
      </w:r>
      <w:r/>
    </w:p>
    <w:p>
      <w:pPr>
        <w:ind w:left="0" w:right="0" w:firstLine="560"/>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5、根据《江苏省政府采购信用管理暂行办法》的规定，供应商信用评价结果为三星的扣2分，评价结果为二星的扣3分，评价结果为一星的扣4分。</w:t>
      </w:r>
      <w:r/>
    </w:p>
    <w:p>
      <w:pPr>
        <w:ind w:left="0" w:right="0" w:firstLine="562"/>
        <w:spacing w:before="240" w:after="24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三、评标标准</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14"/>
        <w:gridCol w:w="968"/>
        <w:gridCol w:w="6773"/>
      </w:tblGrid>
      <w:tr>
        <w:trPr>
          <w:trHeight w:val="6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center"/>
              <w:spacing w:before="100" w:after="10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评分项目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8" w:type="dxa"/>
            <w:vAlign w:val="center"/>
            <w:textDirection w:val="lrTb"/>
            <w:noWrap w:val="false"/>
          </w:tcPr>
          <w:p>
            <w:pPr>
              <w:ind w:left="0" w:right="0" w:firstLine="0"/>
              <w:jc w:val="center"/>
              <w:spacing w:before="100" w:after="10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73" w:type="dxa"/>
            <w:vAlign w:val="center"/>
            <w:textDirection w:val="lrTb"/>
            <w:noWrap w:val="false"/>
          </w:tcPr>
          <w:p>
            <w:pPr>
              <w:ind w:left="0" w:right="0" w:firstLine="0"/>
              <w:jc w:val="center"/>
              <w:spacing w:before="100" w:after="10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说明</w:t>
            </w:r>
            <w:r/>
          </w:p>
        </w:tc>
      </w:tr>
      <w:tr>
        <w:trPr>
          <w:trHeight w:val="22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center"/>
              <w:spacing w:before="100" w:after="10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8" w:type="dxa"/>
            <w:vAlign w:val="center"/>
            <w:textDirection w:val="lrTb"/>
            <w:noWrap w:val="false"/>
          </w:tcPr>
          <w:p>
            <w:pPr>
              <w:ind w:left="0" w:right="0" w:firstLine="0"/>
              <w:jc w:val="center"/>
              <w:spacing w:before="100" w:after="10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3" w:type="dxa"/>
            <w:vAlign w:val="center"/>
            <w:textDirection w:val="lrTb"/>
            <w:noWrap w:val="false"/>
          </w:tcPr>
          <w:p>
            <w:pPr>
              <w:ind w:left="0" w:right="0" w:firstLine="0"/>
              <w:spacing w:before="22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以满足招标文件要求的最低投标报价为评标基准价，得满分30分，其他投标报价得分=（评标基准价/其他投标报价）×30×100%。</w:t>
            </w:r>
            <w:r/>
          </w:p>
          <w:p>
            <w:pPr>
              <w:ind w:left="0" w:right="0" w:firstLine="0"/>
              <w:spacing w:before="22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注：评标委员会认为供应商的报价明显过低，有可能影响履约的，且供应商不能在评标现场合理的时间内证明其报价合理性的或提供相关证明资料的，评标委员会有权将其作为无效投标处理。</w:t>
            </w:r>
            <w:r/>
          </w:p>
        </w:tc>
      </w:tr>
      <w:tr>
        <w:trPr>
          <w:trHeight w:val="21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center"/>
              <w:spacing w:before="100" w:after="10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技术参数响应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8" w:type="dxa"/>
            <w:vAlign w:val="center"/>
            <w:textDirection w:val="lrTb"/>
            <w:noWrap w:val="false"/>
          </w:tcPr>
          <w:p>
            <w:pPr>
              <w:ind w:left="0" w:right="0" w:firstLine="0"/>
              <w:jc w:val="center"/>
              <w:spacing w:before="100" w:after="10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3" w:type="dxa"/>
            <w:vAlign w:val="center"/>
            <w:textDirection w:val="lrTb"/>
            <w:noWrap w:val="false"/>
          </w:tcPr>
          <w:p>
            <w:pPr>
              <w:ind w:left="0" w:right="0" w:firstLine="0"/>
              <w:spacing w:before="22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依据各投标人提供的主要技术指标、参数、性能等响应情况进行评审，全部满足要求得30分，如有下列情况不满足要求，按以下标准扣分，扣完为止：▲表示重要参数，每有一条不满足扣1分；█表示需要视频演示参数，每有一条不满足或不提供扣1.5分</w:t>
            </w:r>
            <w:r>
              <w:rPr>
                <w:rFonts w:ascii="SimSun" w:hAnsi="SimSun" w:eastAsia="SimSun" w:cs="SimSun"/>
                <w:b/>
                <w:color w:val="000000"/>
                <w:sz w:val="21"/>
              </w:rPr>
              <w:t xml:space="preserve">（演示视频上传系统）</w:t>
            </w:r>
            <w:r>
              <w:rPr>
                <w:rFonts w:ascii="SimSun" w:hAnsi="SimSun" w:eastAsia="SimSun" w:cs="SimSun"/>
                <w:color w:val="000000"/>
                <w:sz w:val="21"/>
              </w:rPr>
              <w:t xml:space="preserve">；非▲、█项为一般参数，每有一条不满足扣0.5分。</w:t>
            </w:r>
            <w:r/>
          </w:p>
        </w:tc>
      </w:tr>
      <w:tr>
        <w:trPr>
          <w:trHeight w:val="20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center"/>
              <w:spacing w:before="100" w:after="10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供货方案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8" w:type="dxa"/>
            <w:vAlign w:val="center"/>
            <w:textDirection w:val="lrTb"/>
            <w:noWrap w:val="false"/>
          </w:tcPr>
          <w:p>
            <w:pPr>
              <w:ind w:left="0" w:right="0" w:firstLine="0"/>
              <w:jc w:val="center"/>
              <w:spacing w:before="100" w:after="10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3" w:type="dxa"/>
            <w:vAlign w:val="center"/>
            <w:textDirection w:val="lrTb"/>
            <w:noWrap w:val="false"/>
          </w:tcPr>
          <w:p>
            <w:pPr>
              <w:ind w:left="0" w:right="0" w:firstLine="0"/>
              <w:spacing w:before="22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供应商针对本项目提供详尽、完善的供货方案，包含但不限于：供货方案、运输保障措施、供货进度时间、管理措施等：</w:t>
            </w:r>
            <w:r/>
          </w:p>
          <w:p>
            <w:pPr>
              <w:ind w:left="0" w:right="0" w:firstLine="0"/>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1、方案具体、合理，可操作性强，并能有效把握关键节点工作，能完全满足或优于用户需求，得5分。</w:t>
            </w:r>
            <w:r/>
          </w:p>
          <w:p>
            <w:pPr>
              <w:ind w:left="0" w:right="0" w:firstLine="0"/>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2、方案比较具体、合理，可操作实施，较能把握关键节点工作，能基本满足用户需求的，得3分。</w:t>
            </w:r>
            <w:r/>
          </w:p>
          <w:p>
            <w:pPr>
              <w:ind w:left="0" w:right="0" w:firstLine="0"/>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3、方案不够具体，但能基本把握关键节点工作，对用户需求存在某些负偏离的，得1分。</w:t>
            </w:r>
            <w:r/>
          </w:p>
          <w:p>
            <w:pPr>
              <w:ind w:left="0" w:right="0" w:firstLine="0"/>
              <w:spacing w:before="22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4、方案内容差、无针对性、可操作性差，对用户需求存在较大负偏离或明显无法满足用户需求的，得0分。</w:t>
            </w:r>
            <w:r/>
          </w:p>
        </w:tc>
      </w:tr>
      <w:tr>
        <w:trPr>
          <w:trHeight w:val="8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center"/>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质量保障措施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8" w:type="dxa"/>
            <w:vAlign w:val="center"/>
            <w:textDirection w:val="lrTb"/>
            <w:noWrap w:val="false"/>
          </w:tcPr>
          <w:p>
            <w:pPr>
              <w:ind w:left="0" w:right="0" w:firstLine="0"/>
              <w:jc w:val="center"/>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3" w:type="dxa"/>
            <w:vAlign w:val="center"/>
            <w:textDirection w:val="lrTb"/>
            <w:noWrap w:val="false"/>
          </w:tcPr>
          <w:p>
            <w:pPr>
              <w:ind w:left="0" w:right="0" w:firstLine="0"/>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供应商针对本项目提供详尽、完善的质量保证措施，包含但不限于：质量保障措施、质量保障体系、质量保障承诺等：</w:t>
            </w:r>
            <w:r/>
          </w:p>
          <w:p>
            <w:pPr>
              <w:ind w:left="0" w:right="0" w:firstLine="0"/>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1、方案具体、合理，可操作性强，并能有效把握关键节点工作，能完全满足或优于用户需求，得5分。</w:t>
            </w:r>
            <w:r/>
          </w:p>
          <w:p>
            <w:pPr>
              <w:ind w:left="0" w:right="0" w:firstLine="0"/>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2、方案比较具体、合理，可操作实施，较能把握关键节点工作，能基本满足用户需求的，得3分。</w:t>
            </w:r>
            <w:r/>
          </w:p>
          <w:p>
            <w:pPr>
              <w:ind w:left="0" w:right="0" w:firstLine="0"/>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3、方案不够具体，但能基本把握关键节点工作，对用户需求存在某些负偏离的，得1分。</w:t>
            </w:r>
            <w:r/>
          </w:p>
          <w:p>
            <w:pPr>
              <w:ind w:left="0" w:right="0" w:firstLine="0"/>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4、方案内容差、无针对性、可操作性差，对用户需求存在较大负偏离或明显无法满足用户需求的，得0分。</w:t>
            </w:r>
            <w:r/>
          </w:p>
        </w:tc>
      </w:tr>
      <w:tr>
        <w:trPr>
          <w:trHeight w:val="5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center"/>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8" w:type="dxa"/>
            <w:vAlign w:val="center"/>
            <w:textDirection w:val="lrTb"/>
            <w:noWrap w:val="false"/>
          </w:tcPr>
          <w:p>
            <w:pPr>
              <w:ind w:left="0" w:right="0" w:firstLine="0"/>
              <w:jc w:val="center"/>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3" w:type="dxa"/>
            <w:vAlign w:val="center"/>
            <w:textDirection w:val="lrTb"/>
            <w:noWrap w:val="false"/>
          </w:tcPr>
          <w:p>
            <w:pPr>
              <w:ind w:left="0" w:right="0" w:firstLine="0"/>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根据投标商或者制造商提供的培训方案的合理性、完善性、针对性以及培训方案内容、时间、地点、培训人员、培训经验等方面进行综合评审：</w:t>
            </w:r>
            <w:r/>
          </w:p>
          <w:p>
            <w:pPr>
              <w:ind w:left="0" w:right="0" w:firstLine="0"/>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（1）针对本项目服务体系、服务内容、服务方式、有切实可行的方案，且培训方案完全针对本项目，采用线上线下结合的方式。方案科学、完整、合理为优的，完全满足本项目要求的，得5分；</w:t>
            </w:r>
            <w:r/>
          </w:p>
          <w:p>
            <w:pPr>
              <w:ind w:left="0" w:right="0" w:firstLine="0"/>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（2）方案较为科学、完整、合理的，满足本项目要求，提供培训方案比较完整的，得3分；</w:t>
            </w:r>
            <w:r/>
          </w:p>
          <w:p>
            <w:pPr>
              <w:ind w:left="0" w:right="0" w:firstLine="0"/>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（3）方案科学性一般、基本满足本项目要求，提供培训方案的，得1分。</w:t>
            </w:r>
            <w:r/>
          </w:p>
          <w:p>
            <w:pPr>
              <w:ind w:left="0" w:right="0" w:firstLine="0"/>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未提供者不得分。</w:t>
            </w:r>
            <w:r/>
          </w:p>
        </w:tc>
      </w:tr>
      <w:tr>
        <w:trPr>
          <w:trHeight w:val="18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center"/>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产品测试及验收方案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8" w:type="dxa"/>
            <w:vAlign w:val="center"/>
            <w:textDirection w:val="lrTb"/>
            <w:noWrap w:val="false"/>
          </w:tcPr>
          <w:p>
            <w:pPr>
              <w:ind w:left="0" w:right="0" w:firstLine="0"/>
              <w:jc w:val="center"/>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3" w:type="dxa"/>
            <w:vAlign w:val="center"/>
            <w:textDirection w:val="lrTb"/>
            <w:noWrap w:val="false"/>
          </w:tcPr>
          <w:p>
            <w:pPr>
              <w:ind w:left="0" w:right="0" w:firstLine="0"/>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投标人制定产品测试及验收方案：</w:t>
            </w:r>
            <w:r/>
          </w:p>
          <w:p>
            <w:pPr>
              <w:ind w:left="0" w:right="0" w:firstLine="0"/>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（1）方案针对性强，内容全面完善，并提供详细科学的验收标准，得5分。</w:t>
            </w:r>
            <w:r/>
          </w:p>
          <w:p>
            <w:pPr>
              <w:ind w:left="0" w:right="0" w:firstLine="0"/>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（2）内容较全面，验收标准满足项目要求，描述基本合理、清晰，得3分。</w:t>
            </w:r>
            <w:r/>
          </w:p>
          <w:p>
            <w:pPr>
              <w:ind w:left="0" w:right="0" w:firstLine="0"/>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（3）关于产品测试及验收方案内容简单，描述不清晰，得1分。</w:t>
            </w:r>
            <w:r/>
          </w:p>
          <w:p>
            <w:pPr>
              <w:ind w:left="0" w:right="0" w:firstLine="0"/>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未提供者不得分。</w:t>
            </w:r>
            <w:r/>
          </w:p>
        </w:tc>
      </w:tr>
      <w:tr>
        <w:trPr>
          <w:trHeight w:val="9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center"/>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应急处理措施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8" w:type="dxa"/>
            <w:vAlign w:val="center"/>
            <w:textDirection w:val="lrTb"/>
            <w:noWrap w:val="false"/>
          </w:tcPr>
          <w:p>
            <w:pPr>
              <w:ind w:left="0" w:right="0" w:firstLine="0"/>
              <w:jc w:val="center"/>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3" w:type="dxa"/>
            <w:vAlign w:val="center"/>
            <w:textDirection w:val="lrTb"/>
            <w:noWrap w:val="false"/>
          </w:tcPr>
          <w:p>
            <w:pPr>
              <w:ind w:left="0" w:right="0" w:firstLine="0"/>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对本项目过程中投标人解决问题的能力、紧急故障处理预案进行评价：</w:t>
            </w:r>
            <w:r/>
          </w:p>
          <w:p>
            <w:pPr>
              <w:numPr>
                <w:ilvl w:val="0"/>
                <w:numId w:val="7"/>
              </w:numPr>
              <w:spacing w:before="22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投标人解决问题的能力强，项目实施过程中所有可能出现的问题考虑全面，紧急故障处理预案详细可操作，得5分。</w:t>
            </w:r>
            <w:r/>
          </w:p>
          <w:p>
            <w:pPr>
              <w:numPr>
                <w:ilvl w:val="0"/>
                <w:numId w:val="7"/>
              </w:numPr>
              <w:spacing w:before="22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投标人具备解决项目过程中问题的能力，项目实施过程中所有可能出现的问题考虑欠缺，紧急故障处理预案欠缺，但可实施，得3分。</w:t>
            </w:r>
            <w:r/>
          </w:p>
          <w:p>
            <w:pPr>
              <w:numPr>
                <w:ilvl w:val="0"/>
                <w:numId w:val="7"/>
              </w:numPr>
              <w:spacing w:before="22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投标人基本具有解决问题的能力，但考虑不够周到细致，紧急故障处理预案可操作性差，得1分。</w:t>
            </w:r>
            <w:r/>
          </w:p>
          <w:p>
            <w:pPr>
              <w:numPr>
                <w:ilvl w:val="0"/>
                <w:numId w:val="7"/>
              </w:numPr>
              <w:spacing w:before="22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未提供者不得分。</w:t>
            </w:r>
            <w:r/>
          </w:p>
        </w:tc>
      </w:tr>
      <w:tr>
        <w:trPr>
          <w:trHeight w:val="9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center"/>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8" w:type="dxa"/>
            <w:vAlign w:val="center"/>
            <w:textDirection w:val="lrTb"/>
            <w:noWrap w:val="false"/>
          </w:tcPr>
          <w:p>
            <w:pPr>
              <w:ind w:left="0" w:right="0" w:firstLine="0"/>
              <w:jc w:val="center"/>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3" w:type="dxa"/>
            <w:vAlign w:val="center"/>
            <w:textDirection w:val="lrTb"/>
            <w:noWrap w:val="false"/>
          </w:tcPr>
          <w:p>
            <w:pPr>
              <w:ind w:left="0" w:right="0" w:firstLine="0"/>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1、服务响应时间：</w:t>
            </w:r>
            <w:r/>
          </w:p>
          <w:p>
            <w:pPr>
              <w:ind w:left="0" w:right="0" w:firstLine="0"/>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（1）服务响应时间在2小时内的，得3分。</w:t>
            </w:r>
            <w:r/>
          </w:p>
          <w:p>
            <w:pPr>
              <w:ind w:left="0" w:right="0" w:firstLine="0"/>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（2）服务响应时间在6小时内的，得2分。</w:t>
            </w:r>
            <w:r/>
          </w:p>
          <w:p>
            <w:pPr>
              <w:ind w:left="0" w:right="0" w:firstLine="0"/>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（3）服务响应时间在12小时内的，得1分。</w:t>
            </w:r>
            <w:r/>
          </w:p>
          <w:p>
            <w:pPr>
              <w:ind w:left="0" w:right="0" w:firstLine="0"/>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提供服务响应时间承诺函原件扫描上传，格式自拟，未提供不得分。</w:t>
            </w:r>
            <w:r/>
          </w:p>
          <w:p>
            <w:pPr>
              <w:ind w:left="0" w:right="0" w:firstLine="0"/>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2、售后服务方案、产品维护措施：</w:t>
            </w:r>
            <w:r/>
          </w:p>
          <w:p>
            <w:pPr>
              <w:ind w:left="0" w:right="0" w:firstLine="0"/>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（1）有详细的售后服务方案、质量保证期内产品维护措施，得3分。</w:t>
            </w:r>
            <w:r/>
          </w:p>
          <w:p>
            <w:pPr>
              <w:ind w:left="0" w:right="0" w:firstLine="0"/>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（2）售后服务方案比较详细、质量保证期内产品维护措施相对详细的，得2分。</w:t>
            </w:r>
            <w:r/>
          </w:p>
          <w:p>
            <w:pPr>
              <w:ind w:left="0" w:right="0" w:firstLine="0"/>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（3）售后服务方案不详细、质量保证期内产品维护措施不详细的，得1分。</w:t>
            </w:r>
            <w:r/>
          </w:p>
          <w:p>
            <w:pPr>
              <w:ind w:left="0" w:right="0" w:firstLine="0"/>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（4）未提供者不得分。                  </w:t>
            </w:r>
            <w:r/>
          </w:p>
        </w:tc>
      </w:tr>
      <w:tr>
        <w:trPr>
          <w:trHeight w:val="9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center"/>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企业实力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8" w:type="dxa"/>
            <w:vAlign w:val="center"/>
            <w:textDirection w:val="lrTb"/>
            <w:noWrap w:val="false"/>
          </w:tcPr>
          <w:p>
            <w:pPr>
              <w:ind w:left="0" w:right="0" w:firstLine="0"/>
              <w:jc w:val="center"/>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3" w:type="dxa"/>
            <w:vAlign w:val="center"/>
            <w:textDirection w:val="lrTb"/>
            <w:noWrap w:val="false"/>
          </w:tcPr>
          <w:p>
            <w:pPr>
              <w:ind w:left="0" w:right="0" w:firstLine="0"/>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投标人具有环境管理体系认证证书、质量管理体系认证证书、职业健康安全管理体系认证证书的，每有一个得1分，本项最高得3分。</w:t>
            </w:r>
            <w:r>
              <w:rPr>
                <w:rFonts w:ascii="SimSun" w:hAnsi="SimSun" w:eastAsia="SimSun" w:cs="SimSun"/>
                <w:b/>
                <w:color w:val="000000"/>
                <w:sz w:val="21"/>
              </w:rPr>
              <w:t xml:space="preserve">（证书原件扫描上传）</w:t>
            </w:r>
            <w:r/>
          </w:p>
        </w:tc>
      </w:tr>
      <w:tr>
        <w:trPr>
          <w:trHeight w:val="9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center"/>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8" w:type="dxa"/>
            <w:vAlign w:val="center"/>
            <w:textDirection w:val="lrTb"/>
            <w:noWrap w:val="false"/>
          </w:tcPr>
          <w:p>
            <w:pPr>
              <w:ind w:left="0" w:right="0" w:firstLine="0"/>
              <w:jc w:val="center"/>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3" w:type="dxa"/>
            <w:vAlign w:val="center"/>
            <w:textDirection w:val="lrTb"/>
            <w:noWrap w:val="false"/>
          </w:tcPr>
          <w:p>
            <w:pPr>
              <w:ind w:left="0" w:right="0" w:firstLine="0"/>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投标人2022年1月1日至今（以合同签订时间为准），具有类似项目业绩，每提供一份得2分，最高得6分。</w:t>
            </w:r>
            <w:r>
              <w:rPr>
                <w:rFonts w:ascii="SimSun" w:hAnsi="SimSun" w:eastAsia="SimSun" w:cs="SimSun"/>
                <w:b/>
                <w:color w:val="000000"/>
                <w:sz w:val="21"/>
              </w:rPr>
              <w:t xml:space="preserve">（合同原件扫描上传）</w:t>
            </w:r>
            <w:r/>
          </w:p>
        </w:tc>
      </w:tr>
    </w:tbl>
    <w:p>
      <w:pPr>
        <w:ind w:left="0" w:right="0" w:firstLine="0"/>
        <w:jc w:val="both"/>
        <w:spacing w:before="22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w:t>
      </w:r>
      <w:r/>
    </w:p>
    <w:p>
      <w:pPr>
        <w:ind w:left="0" w:right="0" w:firstLine="0"/>
        <w:jc w:val="both"/>
        <w:spacing w:before="22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1、评标时，未能按以上要求提供相应证明的，不作为评标依据，不得分。</w:t>
      </w:r>
      <w:r/>
    </w:p>
    <w:p>
      <w:pPr>
        <w:ind w:left="0" w:right="0" w:firstLine="0"/>
        <w:jc w:val="both"/>
        <w:spacing w:before="22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2、若发现有提供虚假的证明材料，视为无效投标，并追究相关责任。</w:t>
      </w:r>
      <w:r/>
    </w:p>
    <w:p>
      <w:pPr>
        <w:ind w:left="0" w:right="0" w:firstLine="0"/>
        <w:jc w:val="both"/>
        <w:spacing w:before="22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3、评审委员会启动异常低价投标(响应)审查的情形和具体要求，包括：</w:t>
      </w:r>
      <w:r/>
    </w:p>
    <w:p>
      <w:pPr>
        <w:ind w:left="0" w:right="0" w:firstLine="0"/>
        <w:jc w:val="both"/>
        <w:spacing w:before="22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(一)评审过程中出现下列情形之一的，评审委员会应当启动异常低价投标(响应)审查程序：</w:t>
      </w:r>
      <w:r/>
    </w:p>
    <w:p>
      <w:pPr>
        <w:ind w:left="0" w:right="0" w:firstLine="0"/>
        <w:jc w:val="both"/>
        <w:spacing w:before="22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（1）投标(响应)报价低于采购项目预算 50%的，即投标(响应)报价&lt;采购项目预算*50%；</w:t>
      </w:r>
      <w:r/>
    </w:p>
    <w:p>
      <w:pPr>
        <w:ind w:left="0" w:right="0" w:firstLine="0"/>
        <w:jc w:val="both"/>
        <w:spacing w:before="22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（2）投标(响应)报价低于采购项目最高限价45%的，即投标(响应)报价&lt;采购项目最高限价*45%；</w:t>
      </w:r>
      <w:r/>
    </w:p>
    <w:p>
      <w:pPr>
        <w:ind w:left="0" w:right="0" w:firstLine="0"/>
        <w:jc w:val="both"/>
        <w:spacing w:before="22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（3）评审委员会认定的供应商报价过低、有可能影响产品质量或者不能诚信履约的其他情形。</w:t>
      </w:r>
      <w:r/>
    </w:p>
    <w:p>
      <w:pPr>
        <w:ind w:left="0" w:right="0" w:firstLine="0"/>
        <w:jc w:val="both"/>
        <w:spacing w:before="22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right="0" w:firstLine="0"/>
        <w:jc w:val="both"/>
        <w:spacing w:before="22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pStyle w:val="648"/>
        <w:ind w:left="0" w:right="0" w:firstLine="723"/>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 投标文件格式</w:t>
      </w:r>
      <w:r/>
    </w:p>
    <w:p>
      <w:pPr>
        <w:ind w:left="0" w:right="0" w:firstLine="880"/>
        <w:jc w:val="both"/>
        <w:spacing w:before="220" w:after="0" w:line="25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44"/>
        </w:rPr>
        <w:t xml:space="preserve"> </w:t>
      </w:r>
      <w:r/>
    </w:p>
    <w:p>
      <w:pPr>
        <w:ind w:left="0" w:right="0" w:firstLine="1446"/>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1446"/>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1446"/>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1446"/>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1446"/>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723"/>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723"/>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招 标 编 号：</w:t>
      </w:r>
      <w:r>
        <w:rPr>
          <w:rFonts w:ascii="SimSun" w:hAnsi="SimSun" w:eastAsia="SimSun" w:cs="SimSun"/>
          <w:b/>
          <w:color w:val="000000"/>
          <w:sz w:val="36"/>
          <w:u w:val="single"/>
        </w:rPr>
        <w:t xml:space="preserve">               </w:t>
      </w:r>
      <w:r/>
    </w:p>
    <w:p>
      <w:pPr>
        <w:ind w:left="0" w:right="0" w:firstLine="723"/>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投标供应商名称 ：</w:t>
      </w:r>
      <w:r>
        <w:rPr>
          <w:rFonts w:ascii="SimSun" w:hAnsi="SimSun" w:eastAsia="SimSun" w:cs="SimSun"/>
          <w:b/>
          <w:color w:val="000000"/>
          <w:sz w:val="36"/>
          <w:u w:val="single"/>
        </w:rPr>
        <w:t xml:space="preserve">               </w:t>
      </w:r>
      <w:r/>
    </w:p>
    <w:p>
      <w:pPr>
        <w:ind w:left="0" w:right="0" w:firstLine="723"/>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日期 ：</w:t>
      </w:r>
      <w:r>
        <w:rPr>
          <w:rFonts w:ascii="SimSun" w:hAnsi="SimSun" w:eastAsia="SimSun" w:cs="SimSun"/>
          <w:b/>
          <w:color w:val="000000"/>
          <w:sz w:val="36"/>
          <w:u w:val="single"/>
        </w:rPr>
        <w:t xml:space="preserve">               </w:t>
      </w:r>
      <w:r/>
    </w:p>
    <w:p>
      <w:pPr>
        <w:ind w:left="0" w:right="0" w:firstLine="723"/>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投标供应商：</w:t>
      </w:r>
      <w:r>
        <w:rPr>
          <w:rFonts w:ascii="SimSun" w:hAnsi="SimSun" w:eastAsia="SimSun" w:cs="SimSun"/>
          <w:b/>
          <w:color w:val="000000"/>
          <w:sz w:val="36"/>
          <w:u w:val="single"/>
        </w:rPr>
        <w:t xml:space="preserve">         </w:t>
      </w:r>
      <w:r>
        <w:rPr>
          <w:rFonts w:ascii="SimSun" w:hAnsi="SimSun" w:eastAsia="SimSun" w:cs="SimSun"/>
          <w:b/>
          <w:color w:val="000000"/>
          <w:sz w:val="36"/>
        </w:rPr>
        <w:t xml:space="preserve">（电子签章）</w:t>
      </w:r>
      <w:r/>
    </w:p>
    <w:p>
      <w:pPr>
        <w:ind w:left="0" w:right="0" w:firstLine="643"/>
        <w:jc w:val="center"/>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投标主要文件目录</w:t>
      </w:r>
      <w:r/>
    </w:p>
    <w:p>
      <w:pPr>
        <w:ind w:left="0" w:right="0" w:firstLine="643"/>
        <w:jc w:val="center"/>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48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一、法人或者其他组织的营业执照等证明文件，自然人的身份证明</w:t>
      </w:r>
      <w:r/>
    </w:p>
    <w:p>
      <w:pPr>
        <w:ind w:left="48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二、上一年度的财务状况报告（成立不满一年无需提供）</w:t>
      </w:r>
      <w:r/>
    </w:p>
    <w:p>
      <w:pPr>
        <w:ind w:left="48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四、具备履行合同所必需的设备和专业技术能力的书面声明</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五、参加政府采购活动前3年内在经营活动中没有重大违法记录的书面声明</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六、供应商信用承诺函</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七、法人授权书</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八、投标函</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九、企业声明函</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十、开标一览表</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十一、投标分项报价表</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十二、技术要求响应及偏离表</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十三、商务要求响应及偏离表</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一、法人或者其他组织的营业执照等证明文件，自然人的身份证明</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二、上一年度的财务状况报告（成立不满一年无需提供）</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投标人成立不满一年不需提供</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三、依法缴纳税收和社会保障资金的相关材料</w:t>
      </w:r>
      <w:r/>
    </w:p>
    <w:p>
      <w:pPr>
        <w:ind w:left="0" w:right="0" w:firstLine="48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提供提交投标文件截止时间前一年内至少一个月依法缴纳税收及缴纳社会保障资金的证明材料。投标人依法享受缓缴、免缴税收、社会保障资金的提供证明材料。</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四、具备履行合同所必需的设备和专业技术能力的书面声明</w:t>
      </w:r>
      <w:r/>
    </w:p>
    <w:p>
      <w:pPr>
        <w:ind w:left="0" w:right="0" w:firstLine="492"/>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五、参加政府采购活动前3年内在经营活动中没有重大违法记录的书面声明</w:t>
      </w:r>
      <w:r/>
    </w:p>
    <w:p>
      <w:pPr>
        <w:ind w:left="0" w:right="0" w:firstLine="0"/>
        <w:jc w:val="center"/>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声明</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20" w:after="29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六、供应商信用承诺函</w:t>
      </w:r>
      <w:r/>
    </w:p>
    <w:p>
      <w:pPr>
        <w:ind w:left="0" w:right="0" w:firstLine="0"/>
        <w:jc w:val="center"/>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供应商信用承诺函</w:t>
      </w:r>
      <w:r/>
    </w:p>
    <w:p>
      <w:pPr>
        <w:ind w:left="0" w:right="0" w:firstLine="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承诺主体名称：</w:t>
      </w:r>
      <w:r/>
    </w:p>
    <w:p>
      <w:pPr>
        <w:ind w:left="0" w:right="0" w:firstLine="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统一社会信用代码：</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为维护公平竞争、规范有序的市场秩序，营造诚实守信的信用环境，共同推进社会信用体系建设完善，树立企业诚信守法形象，本企业对项目政府采购活动郑重承诺如下：</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一、对提供给注册登记部门、行业管理部门、司法部门、行业组织以及在政府采购活动中提交的所有资料的合法性、真实性、准确性和有效性负责；</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二、严格按照国家法律、法规和规章开展采购活动，全面履行应尽的责任和义务，全面做到履约守信，具备《中华人民共和国政府采购法》第二十二条第一款规定的条件;</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三、严格依法开展生产经营活动，主动接受行业监管，自愿接受依法开展的日常检查；违法失信经营后将自愿接受约束和惩戒，并依法承担相应责任；</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四、自觉接受行政管理部门、行业组织、社会公众、新闻舆论的监督；</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五、自觉做到自我约束、自我管理，不制假售假、商标侵权、虚假宣传、违约毁约、恶意逃债、偷税漏税、垄断和不正当竞争，维护经营者、消费者的合法权益；</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六、提出政府采购质疑和投诉坚持依法依规、诚实信用原则，在全国范围12个月内没有三次以上查无实据的政府采购投诉；</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七、严格遵守信用信息公示相关规定，向社会公示信用信息；</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八、在“信用中国”和“中国政府采购网”网站中无违法违规、较重或严重失信记录；</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九、如违反承诺，自愿接受管理部门依法给予的行政处罚，同意将违反承诺的行为作为不良记录记入信用档案，依法依规进行信息公示，并承担所产生的一切法律责任和经济损失。</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十、本承诺书自签订之日起生效。</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（注：法定代表人或负责人、主体名称发生变更的应当重新做出承诺。）</w:t>
      </w:r>
      <w:r/>
    </w:p>
    <w:p>
      <w:pPr>
        <w:ind w:left="0" w:right="0" w:firstLine="0"/>
        <w:jc w:val="center"/>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承诺单位（公章）：           </w:t>
      </w:r>
      <w:r/>
    </w:p>
    <w:p>
      <w:pPr>
        <w:ind w:left="0" w:right="0" w:firstLine="0"/>
        <w:jc w:val="center"/>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法定代表人（负责人）：</w:t>
      </w:r>
      <w:r/>
    </w:p>
    <w:p>
      <w:pPr>
        <w:ind w:left="0" w:right="0" w:firstLine="0"/>
        <w:jc w:val="center"/>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  日</w:t>
      </w:r>
      <w:r/>
    </w:p>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七、法人授权书</w:t>
      </w:r>
      <w:r/>
    </w:p>
    <w:p>
      <w:pPr>
        <w:ind w:left="0" w:right="0" w:firstLine="480"/>
        <w:spacing w:before="240" w:after="24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Times New Roman" w:hAnsi="Times New Roman" w:eastAsia="Times New Roman" w:cs="Times New Roman"/>
          <w:color w:val="000000"/>
          <w:sz w:val="24"/>
        </w:rPr>
        <w:t xml:space="preserve">____________</w:t>
      </w:r>
      <w:r>
        <w:rPr>
          <w:rFonts w:ascii="SimSun" w:hAnsi="SimSun" w:eastAsia="SimSun" w:cs="SimSun"/>
          <w:color w:val="000000"/>
          <w:sz w:val="24"/>
        </w:rPr>
        <w:t xml:space="preserve">（投标人名称）授权</w:t>
      </w:r>
      <w:r>
        <w:rPr>
          <w:rFonts w:ascii="Times New Roman" w:hAnsi="Times New Roman" w:eastAsia="Times New Roman" w:cs="Times New Roman"/>
          <w:color w:val="000000"/>
          <w:sz w:val="24"/>
        </w:rPr>
        <w:t xml:space="preserve">________________</w:t>
      </w:r>
      <w:r>
        <w:rPr>
          <w:rFonts w:ascii="SimSun" w:hAnsi="SimSun" w:eastAsia="SimSun" w:cs="SimSun"/>
          <w:color w:val="000000"/>
          <w:sz w:val="24"/>
        </w:rPr>
        <w:t xml:space="preserve">（被授权人的姓名）为我方就</w:t>
      </w:r>
      <w:r>
        <w:rPr>
          <w:rFonts w:ascii="SimSun" w:hAnsi="SimSun" w:eastAsia="SimSun" w:cs="SimSun"/>
          <w:color w:val="000000"/>
          <w:sz w:val="24"/>
          <w:u w:val="single"/>
        </w:rPr>
        <w:t xml:space="preserve">        </w:t>
      </w:r>
      <w:r>
        <w:rPr>
          <w:rFonts w:ascii="SimSun" w:hAnsi="SimSun" w:eastAsia="SimSun" w:cs="SimSun"/>
          <w:color w:val="000000"/>
          <w:sz w:val="24"/>
        </w:rPr>
        <w:t xml:space="preserve">号</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spacing w:before="240" w:after="24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0"/>
        <w:spacing w:before="240" w:after="24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rPr>
          <w:rFonts w:ascii="SimSun" w:hAnsi="SimSun" w:eastAsia="SimSun" w:cs="SimSun"/>
          <w:color w:val="000000"/>
          <w:sz w:val="24"/>
          <w:u w:val="single"/>
        </w:rPr>
        <w:t xml:space="preserve">                    </w:t>
      </w:r>
      <w:r/>
    </w:p>
    <w:p>
      <w:pPr>
        <w:ind w:left="0" w:right="0" w:firstLine="0"/>
        <w:spacing w:before="240" w:after="24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rPr>
          <w:rFonts w:ascii="SimSun" w:hAnsi="SimSun" w:eastAsia="SimSun" w:cs="SimSun"/>
          <w:color w:val="000000"/>
          <w:sz w:val="24"/>
          <w:u w:val="single"/>
        </w:rPr>
        <w:t xml:space="preserve">                </w:t>
      </w:r>
      <w:r/>
    </w:p>
    <w:p>
      <w:pPr>
        <w:ind w:left="0" w:right="0" w:firstLine="0"/>
        <w:spacing w:before="240" w:after="24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w:t>
      </w:r>
      <w:r/>
    </w:p>
    <w:p>
      <w:pPr>
        <w:ind w:left="0" w:right="0" w:firstLine="0"/>
        <w:spacing w:before="240" w:after="24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rPr>
          <w:rFonts w:ascii="SimSun" w:hAnsi="SimSun" w:eastAsia="SimSun" w:cs="SimSun"/>
          <w:color w:val="000000"/>
          <w:sz w:val="24"/>
          <w:u w:val="single"/>
        </w:rPr>
        <w:t xml:space="preserve">                             </w:t>
      </w:r>
      <w:r/>
    </w:p>
    <w:p>
      <w:pPr>
        <w:ind w:left="0" w:right="0" w:firstLine="0"/>
        <w:spacing w:before="240" w:after="24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1"/>
        </w:rPr>
        <w:t xml:space="preserve"> </w:t>
      </w:r>
      <w:r/>
    </w:p>
    <w:p>
      <w:pPr>
        <w:ind w:left="0" w:right="0" w:firstLine="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50"/>
        <w:ind w:left="0" w:right="0" w:firstLine="3390"/>
        <w:jc w:val="both"/>
        <w:spacing w:before="260" w:after="260" w:line="761" w:lineRule="atLeast"/>
        <w:pBdr>
          <w:top w:val="none" w:color="000000" w:sz="4" w:space="0"/>
          <w:left w:val="none" w:color="000000" w:sz="4" w:space="0"/>
          <w:bottom w:val="none" w:color="000000" w:sz="4" w:space="0"/>
          <w:right w:val="none" w:color="000000" w:sz="4" w:space="0"/>
        </w:pBdr>
      </w:pPr>
      <w:r>
        <w:br w:type="page" w:clear="all"/>
      </w:r>
      <w:r/>
    </w:p>
    <w:p>
      <w:pPr>
        <w:pStyle w:val="650"/>
        <w:ind w:left="0" w:right="0" w:firstLine="3390"/>
        <w:jc w:val="both"/>
        <w:spacing w:before="260" w:after="260" w:line="761" w:lineRule="atLeast"/>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八、投标函</w:t>
      </w:r>
      <w:r/>
    </w:p>
    <w:p>
      <w:pPr>
        <w:ind w:left="0" w:right="0" w:firstLine="0"/>
        <w:spacing w:before="22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 江苏省扬州技师学院</w:t>
      </w:r>
      <w:r/>
    </w:p>
    <w:p>
      <w:pPr>
        <w:ind w:left="0" w:right="0" w:firstLine="0"/>
        <w:spacing w:before="22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w:t>
      </w:r>
      <w:r>
        <w:rPr>
          <w:rFonts w:ascii="SimSun" w:hAnsi="SimSun" w:eastAsia="SimSun" w:cs="SimSun"/>
          <w:color w:val="000000"/>
          <w:sz w:val="24"/>
          <w:u w:val="single"/>
        </w:rPr>
        <w:t xml:space="preserve">     </w:t>
      </w:r>
      <w:r>
        <w:rPr>
          <w:rFonts w:ascii="SimSun" w:hAnsi="SimSun" w:eastAsia="SimSun" w:cs="SimSun"/>
          <w:color w:val="000000"/>
          <w:sz w:val="24"/>
        </w:rPr>
        <w:t xml:space="preserve">号</w:t>
      </w:r>
      <w:r>
        <w:rPr>
          <w:rFonts w:ascii="SimSun" w:hAnsi="SimSun" w:eastAsia="SimSun" w:cs="SimSun"/>
          <w:color w:val="000000"/>
          <w:sz w:val="24"/>
          <w:u w:val="single"/>
        </w:rPr>
        <w:t xml:space="preserve">       </w:t>
      </w:r>
      <w:r>
        <w:rPr>
          <w:rFonts w:ascii="SimSun" w:hAnsi="SimSun" w:eastAsia="SimSun" w:cs="SimSun"/>
          <w:color w:val="000000"/>
          <w:sz w:val="24"/>
        </w:rPr>
        <w:t xml:space="preserve">项目招标文件，正式授权下述签字人</w:t>
      </w:r>
      <w:r>
        <w:rPr>
          <w:rFonts w:ascii="SimSun" w:hAnsi="SimSun" w:eastAsia="SimSun" w:cs="SimSun"/>
          <w:color w:val="000000"/>
          <w:sz w:val="24"/>
          <w:u w:val="single"/>
        </w:rPr>
        <w:t xml:space="preserve">           </w:t>
      </w:r>
      <w:r>
        <w:rPr>
          <w:rFonts w:ascii="SimSun" w:hAnsi="SimSun" w:eastAsia="SimSun" w:cs="SimSun"/>
          <w:color w:val="000000"/>
          <w:sz w:val="24"/>
        </w:rPr>
        <w:t xml:space="preserve">(姓名)代表我方______________（投标人的名称），全权处理本次项目投标的有关事宜。</w:t>
      </w:r>
      <w:r/>
    </w:p>
    <w:p>
      <w:pPr>
        <w:ind w:left="0" w:right="0" w:firstLine="0"/>
        <w:spacing w:before="22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0"/>
        <w:spacing w:before="22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1.按招标文件规定的各项要求，向买方提供所需服务（包含与服务相关的货物）。</w:t>
      </w:r>
      <w:r/>
    </w:p>
    <w:p>
      <w:pPr>
        <w:ind w:left="0" w:right="0" w:firstLine="0"/>
        <w:spacing w:before="22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0"/>
        <w:spacing w:before="22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0"/>
        <w:spacing w:before="22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0"/>
        <w:spacing w:before="22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0"/>
        <w:spacing w:before="22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0" w:right="0" w:firstLine="0"/>
        <w:spacing w:before="22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420" w:right="0" w:firstLine="0"/>
        <w:spacing w:before="22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420" w:right="0" w:firstLine="0"/>
        <w:spacing w:before="22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420" w:right="0" w:firstLine="0"/>
        <w:spacing w:before="22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420" w:right="0" w:firstLine="0"/>
        <w:spacing w:before="22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420" w:right="0" w:firstLine="0"/>
        <w:spacing w:before="22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w:t>
      </w:r>
      <w:r/>
    </w:p>
    <w:p>
      <w:pPr>
        <w:ind w:left="420" w:right="0" w:firstLine="0"/>
        <w:spacing w:before="22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 </w:t>
      </w:r>
      <w:r/>
    </w:p>
    <w:p>
      <w:pPr>
        <w:ind w:left="420" w:right="0" w:firstLine="0"/>
        <w:spacing w:before="22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日期：________年____月____日</w:t>
      </w:r>
      <w:r/>
    </w:p>
    <w:p>
      <w:pPr>
        <w:ind w:left="0" w:right="0" w:firstLine="240"/>
        <w:jc w:val="center"/>
        <w:spacing w:before="22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20" w:after="240" w:line="250" w:lineRule="atLeast"/>
        <w:tabs>
          <w:tab w:val="left" w:pos="3646" w:leader="none"/>
          <w:tab w:val="left" w:pos="4898" w:leader="none"/>
        </w:tabs>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九、企业声明函</w:t>
      </w:r>
      <w:r/>
    </w:p>
    <w:p>
      <w:pPr>
        <w:ind w:left="0" w:right="0" w:firstLine="420"/>
        <w:jc w:val="both"/>
        <w:spacing w:before="22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本公司郑重声明，根据《政府采购促进中小企业发展管理办法》（财库﹝2020﹞46 号）的规定，本公司参加南京金鼎工程造价评估有限责任公司扬州分公司的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采购活动，为符合相关政策要求的中小企业。企业的具体情况如下：</w:t>
      </w:r>
      <w:r/>
    </w:p>
    <w:p>
      <w:pPr>
        <w:ind w:left="0" w:right="0" w:firstLine="420"/>
        <w:jc w:val="both"/>
        <w:spacing w:before="22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工业</w:t>
      </w:r>
      <w:r>
        <w:rPr>
          <w:rFonts w:ascii="SimSun" w:hAnsi="SimSun" w:eastAsia="SimSun" w:cs="SimSun"/>
          <w:color w:val="000000"/>
          <w:sz w:val="24"/>
        </w:rPr>
        <w:t xml:space="preserve">； 供应商企业为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，从业人员人，营业 收入为万元，资产总额为万元，属于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 </w:t>
      </w:r>
      <w:r/>
    </w:p>
    <w:p>
      <w:pPr>
        <w:ind w:left="0" w:right="0" w:firstLine="420"/>
        <w:jc w:val="both"/>
        <w:spacing w:before="22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20"/>
        <w:jc w:val="both"/>
        <w:spacing w:before="22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以上企业，不属于大企业的分支机构，不存在控股股东为大企业的情形，也不存在与大企业的负责人为同一人的情形。 </w:t>
      </w:r>
      <w:r/>
    </w:p>
    <w:p>
      <w:pPr>
        <w:ind w:left="0" w:right="0" w:firstLine="420"/>
        <w:jc w:val="both"/>
        <w:spacing w:before="22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 </w:t>
      </w:r>
      <w:r/>
    </w:p>
    <w:p>
      <w:pPr>
        <w:ind w:left="0" w:right="0" w:firstLine="420"/>
        <w:jc w:val="center"/>
        <w:spacing w:before="22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center"/>
        <w:spacing w:before="22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w:t>
      </w:r>
      <w:r/>
    </w:p>
    <w:p>
      <w:pPr>
        <w:ind w:left="0" w:right="0" w:firstLine="420"/>
        <w:jc w:val="center"/>
        <w:spacing w:before="22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420"/>
        <w:jc w:val="center"/>
        <w:spacing w:before="22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2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注：从业人员、营业收入、资产总额填报上一年度数据，无上一年度数据的新成立企业可不填报相应数据。</w:t>
      </w:r>
      <w:r/>
    </w:p>
    <w:p>
      <w:pPr>
        <w:ind w:left="0" w:right="0" w:firstLine="645"/>
        <w:jc w:val="both"/>
        <w:spacing w:before="22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22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300" w:after="300" w:line="249" w:lineRule="atLeast"/>
        <w:pBdr>
          <w:top w:val="none" w:color="000000" w:sz="4" w:space="0"/>
          <w:left w:val="none" w:color="000000" w:sz="4" w:space="0"/>
          <w:bottom w:val="none" w:color="000000" w:sz="4" w:space="0"/>
          <w:right w:val="none" w:color="000000" w:sz="4" w:space="0"/>
        </w:pBdr>
      </w:pPr>
      <w:r>
        <w:rPr>
          <w:rFonts w:ascii="YouYuan" w:hAnsi="YouYuan" w:eastAsia="YouYuan" w:cs="YouYuan"/>
          <w:b/>
          <w:color w:val="000000"/>
          <w:sz w:val="21"/>
        </w:rPr>
        <w:t xml:space="preserve">中小微企业划型标准</w:t>
      </w:r>
      <w:r>
        <w:rPr>
          <w:rFonts w:ascii="Arial" w:hAnsi="Arial" w:eastAsia="Arial" w:cs="Arial"/>
          <w:b/>
          <w:color w:val="000000"/>
          <w:sz w:val="21"/>
        </w:rPr>
        <w:t xml:space="preserve"> </w:t>
      </w:r>
      <w:r/>
    </w:p>
    <w:p>
      <w:pPr>
        <w:ind w:left="0" w:right="0" w:firstLine="0"/>
        <w:spacing w:before="300" w:after="452"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中小微企业划型标准如下：</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91"/>
        <w:gridCol w:w="1748"/>
        <w:gridCol w:w="732"/>
        <w:gridCol w:w="1922"/>
        <w:gridCol w:w="1739"/>
        <w:gridCol w:w="1545"/>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微型</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资产总额（</w:t>
            </w:r>
            <w:r>
              <w:rPr>
                <w:rFonts w:ascii="SimSun" w:hAnsi="SimSun" w:eastAsia="SimSun" w:cs="SimSun"/>
                <w:b/>
                <w:color w:val="000000"/>
                <w:sz w:val="21"/>
              </w:rPr>
              <w:t xml:space="preserve">Z</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5000</w:t>
            </w:r>
            <w:r>
              <w:rPr>
                <w:rFonts w:ascii="DengXian" w:hAnsi="DengXian" w:eastAsia="DengXian" w:cs="DengXian"/>
                <w:b/>
                <w:color w:val="000000"/>
                <w:sz w:val="21"/>
              </w:rPr>
              <w:t xml:space="preserve">≤</w:t>
            </w:r>
            <w:r>
              <w:rPr>
                <w:rFonts w:ascii="SimSun" w:hAnsi="SimSun" w:eastAsia="SimSun" w:cs="SimSun"/>
                <w:b/>
                <w:color w:val="000000"/>
                <w:sz w:val="21"/>
              </w:rPr>
              <w:t xml:space="preserve">Z</w:t>
            </w:r>
            <w:r>
              <w:rPr>
                <w:rFonts w:ascii="DengXian" w:hAnsi="DengXian" w:eastAsia="DengXian" w:cs="DengXian"/>
                <w:b/>
                <w:color w:val="000000"/>
                <w:sz w:val="21"/>
              </w:rPr>
              <w:t xml:space="preserve">＜</w:t>
            </w:r>
            <w:r>
              <w:rPr>
                <w:rFonts w:ascii="SimSun" w:hAnsi="SimSun" w:eastAsia="SimSun" w:cs="SimSun"/>
                <w:b/>
                <w:color w:val="000000"/>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w:t>
            </w:r>
            <w:r>
              <w:rPr>
                <w:rFonts w:ascii="DengXian" w:hAnsi="DengXian" w:eastAsia="DengXian" w:cs="DengXian"/>
                <w:b/>
                <w:color w:val="000000"/>
                <w:sz w:val="21"/>
              </w:rPr>
              <w:t xml:space="preserve">≤</w:t>
            </w:r>
            <w:r>
              <w:rPr>
                <w:rFonts w:ascii="SimSun" w:hAnsi="SimSun" w:eastAsia="SimSun" w:cs="SimSun"/>
                <w:b/>
                <w:color w:val="000000"/>
                <w:sz w:val="21"/>
              </w:rPr>
              <w:t xml:space="preserve">Z</w:t>
            </w:r>
            <w:r>
              <w:rPr>
                <w:rFonts w:ascii="DengXian" w:hAnsi="DengXian" w:eastAsia="DengXian" w:cs="DengXian"/>
                <w:b/>
                <w:color w:val="000000"/>
                <w:sz w:val="21"/>
              </w:rPr>
              <w:t xml:space="preserve">＜</w:t>
            </w:r>
            <w:r>
              <w:rPr>
                <w:rFonts w:ascii="SimSun" w:hAnsi="SimSun" w:eastAsia="SimSun" w:cs="SimSun"/>
                <w:b/>
                <w:color w:val="000000"/>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Z</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5</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42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资产总额（</w:t>
            </w:r>
            <w:r>
              <w:rPr>
                <w:rFonts w:ascii="SimSun" w:hAnsi="SimSun" w:eastAsia="SimSun" w:cs="SimSun"/>
                <w:b/>
                <w:color w:val="000000"/>
                <w:sz w:val="21"/>
              </w:rPr>
              <w:t xml:space="preserve">Z</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5000</w:t>
            </w:r>
            <w:r>
              <w:rPr>
                <w:rFonts w:ascii="DengXian" w:hAnsi="DengXian" w:eastAsia="DengXian" w:cs="DengXian"/>
                <w:b/>
                <w:color w:val="000000"/>
                <w:sz w:val="21"/>
              </w:rPr>
              <w:t xml:space="preserve">≤</w:t>
            </w:r>
            <w:r>
              <w:rPr>
                <w:rFonts w:ascii="SimSun" w:hAnsi="SimSun" w:eastAsia="SimSun" w:cs="SimSun"/>
                <w:b/>
                <w:color w:val="000000"/>
                <w:sz w:val="21"/>
              </w:rPr>
              <w:t xml:space="preserve">Z</w:t>
            </w:r>
            <w:r>
              <w:rPr>
                <w:rFonts w:ascii="DengXian" w:hAnsi="DengXian" w:eastAsia="DengXian" w:cs="DengXian"/>
                <w:b/>
                <w:color w:val="000000"/>
                <w:sz w:val="21"/>
              </w:rPr>
              <w:t xml:space="preserve">＜</w:t>
            </w:r>
            <w:r>
              <w:rPr>
                <w:rFonts w:ascii="SimSun" w:hAnsi="SimSun" w:eastAsia="SimSun" w:cs="SimSun"/>
                <w:b/>
                <w:color w:val="000000"/>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资产总额（</w:t>
            </w:r>
            <w:r>
              <w:rPr>
                <w:rFonts w:ascii="SimSun" w:hAnsi="SimSun" w:eastAsia="SimSun" w:cs="SimSun"/>
                <w:b/>
                <w:color w:val="000000"/>
                <w:sz w:val="21"/>
              </w:rPr>
              <w:t xml:space="preserve">Z</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8000</w:t>
            </w:r>
            <w:r>
              <w:rPr>
                <w:rFonts w:ascii="DengXian" w:hAnsi="DengXian" w:eastAsia="DengXian" w:cs="DengXian"/>
                <w:b/>
                <w:color w:val="000000"/>
                <w:sz w:val="21"/>
              </w:rPr>
              <w:t xml:space="preserve">≤</w:t>
            </w:r>
            <w:r>
              <w:rPr>
                <w:rFonts w:ascii="SimSun" w:hAnsi="SimSun" w:eastAsia="SimSun" w:cs="SimSun"/>
                <w:b/>
                <w:color w:val="000000"/>
                <w:sz w:val="21"/>
              </w:rPr>
              <w:t xml:space="preserve">Z</w:t>
            </w:r>
            <w:r>
              <w:rPr>
                <w:rFonts w:ascii="DengXian" w:hAnsi="DengXian" w:eastAsia="DengXian" w:cs="DengXian"/>
                <w:b/>
                <w:color w:val="000000"/>
                <w:sz w:val="21"/>
              </w:rPr>
              <w:t xml:space="preserve">＜</w:t>
            </w:r>
            <w:r>
              <w:rPr>
                <w:rFonts w:ascii="SimSun" w:hAnsi="SimSun" w:eastAsia="SimSun" w:cs="SimSun"/>
                <w:b/>
                <w:color w:val="000000"/>
                <w:sz w:val="21"/>
              </w:rPr>
              <w:t xml:space="preserve">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Z</w:t>
            </w:r>
            <w:r>
              <w:rPr>
                <w:rFonts w:ascii="DengXian" w:hAnsi="DengXian" w:eastAsia="DengXian" w:cs="DengXian"/>
                <w:b/>
                <w:color w:val="000000"/>
                <w:sz w:val="21"/>
              </w:rPr>
              <w:t xml:space="preserve">＜</w:t>
            </w:r>
            <w:r>
              <w:rPr>
                <w:rFonts w:ascii="SimSun" w:hAnsi="SimSun" w:eastAsia="SimSun" w:cs="SimSun"/>
                <w:b/>
                <w:color w:val="000000"/>
                <w:sz w:val="21"/>
              </w:rPr>
              <w:t xml:space="preserve">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w:t>
            </w:r>
            <w:r/>
          </w:p>
        </w:tc>
      </w:tr>
    </w:tbl>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说明：上述标准参照《关于印发中小企业划型标准规定的通知》（工信部联企业</w:t>
      </w:r>
      <w:r>
        <w:rPr>
          <w:rFonts w:ascii="SimSun" w:hAnsi="SimSun" w:eastAsia="SimSun" w:cs="SimSun"/>
          <w:b/>
          <w:color w:val="000000"/>
          <w:sz w:val="21"/>
        </w:rPr>
        <w:t xml:space="preserve">[2011]300</w:t>
      </w:r>
      <w:r>
        <w:rPr>
          <w:rFonts w:ascii="DengXian" w:hAnsi="DengXian" w:eastAsia="DengXian" w:cs="DengXian"/>
          <w:b/>
          <w:color w:val="000000"/>
          <w:sz w:val="21"/>
        </w:rPr>
        <w:t xml:space="preserve">号），大型、中型和小型企业须同时满足所列指标的下限，否则下划一档；微型企业只须满足所列指标中的一项即可。</w:t>
        <w:br w:type="page" w:clear="all"/>
      </w:r>
      <w:r/>
    </w:p>
    <w:p>
      <w:pPr>
        <w:ind w:left="0" w:right="0" w:firstLine="0"/>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残疾人福利性单位声明函（如有）</w:t>
      </w:r>
      <w:r/>
    </w:p>
    <w:p>
      <w:pPr>
        <w:ind w:left="0" w:right="0" w:firstLine="624"/>
        <w:jc w:val="both"/>
        <w:spacing w:before="220" w:after="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0" w:firstLine="42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 民政部 中国残疾人联合会关于促进残疾人就业政府采购政策的通知》（财库〔</w:t>
      </w:r>
      <w:r>
        <w:rPr>
          <w:rFonts w:ascii="SimSun" w:hAnsi="SimSun" w:eastAsia="SimSun" w:cs="SimSun"/>
          <w:color w:val="000000"/>
          <w:sz w:val="22"/>
        </w:rPr>
        <w:t xml:space="preserve">2017</w:t>
      </w:r>
      <w:r>
        <w:rPr>
          <w:rFonts w:ascii="SimSun" w:hAnsi="SimSun" w:eastAsia="SimSun" w:cs="SimSun"/>
          <w:color w:val="000000"/>
          <w:sz w:val="21"/>
        </w:rPr>
        <w:t xml:space="preserve">〕</w:t>
      </w:r>
      <w:r>
        <w:rPr>
          <w:rFonts w:ascii="SimSun" w:hAnsi="SimSun" w:eastAsia="SimSun" w:cs="SimSun"/>
          <w:color w:val="000000"/>
          <w:sz w:val="22"/>
        </w:rPr>
        <w:t xml:space="preserve">141</w:t>
      </w:r>
      <w:r>
        <w:rPr>
          <w:rFonts w:ascii="SimSun" w:hAnsi="SimSun" w:eastAsia="SimSun" w:cs="SimSun"/>
          <w:color w:val="000000"/>
          <w:sz w:val="21"/>
        </w:rPr>
        <w:t xml:space="preserve">号）的规定，本单位为符合条件的残疾人福利性单位，且本单位参加</w:t>
      </w:r>
      <w:r>
        <w:rPr>
          <w:rFonts w:ascii="SimSun" w:hAnsi="SimSun" w:eastAsia="SimSun" w:cs="SimSun"/>
          <w:color w:val="000000"/>
          <w:sz w:val="22"/>
        </w:rPr>
        <w:t xml:space="preserve">______</w:t>
      </w:r>
      <w:r>
        <w:rPr>
          <w:rFonts w:ascii="SimSun" w:hAnsi="SimSun" w:eastAsia="SimSun" w:cs="SimSun"/>
          <w:color w:val="000000"/>
          <w:sz w:val="21"/>
        </w:rPr>
        <w:t xml:space="preserve">单位的采购文件编号为</w:t>
      </w:r>
      <w:r>
        <w:rPr>
          <w:rFonts w:ascii="SimSun" w:hAnsi="SimSun" w:eastAsia="SimSun" w:cs="SimSun"/>
          <w:color w:val="000000"/>
          <w:sz w:val="22"/>
        </w:rPr>
        <w:t xml:space="preserve">______</w:t>
      </w:r>
      <w:r>
        <w:rPr>
          <w:rFonts w:ascii="SimSun" w:hAnsi="SimSun" w:eastAsia="SimSun" w:cs="SimSun"/>
          <w:color w:val="000000"/>
          <w:sz w:val="21"/>
        </w:rPr>
        <w:t xml:space="preserve">的项目采购活动提供本单位制造的产品或服务（由本单位承担工程</w:t>
      </w:r>
      <w:r>
        <w:rPr>
          <w:rFonts w:ascii="SimSun" w:hAnsi="SimSun" w:eastAsia="SimSun" w:cs="SimSun"/>
          <w:color w:val="000000"/>
          <w:sz w:val="22"/>
        </w:rPr>
        <w:t xml:space="preserve">/</w:t>
      </w:r>
      <w:r>
        <w:rPr>
          <w:rFonts w:ascii="SimSun" w:hAnsi="SimSun" w:eastAsia="SimSun" w:cs="SimSun"/>
          <w:color w:val="000000"/>
          <w:sz w:val="21"/>
        </w:rPr>
        <w:t xml:space="preserve">提供服务），或者提供其他残疾人福利性单位制造的产品或服务（不包括使用非残疾人福利性单位注册商标的产品或服务）。</w:t>
      </w:r>
      <w:r/>
    </w:p>
    <w:p>
      <w:pPr>
        <w:ind w:left="0" w:right="0" w:firstLine="42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本单位在本次政府采购活动中提供的残疾人福利单位产品报价合计为人民币（大写）圆整（￥：</w:t>
      </w:r>
      <w:r>
        <w:rPr>
          <w:rFonts w:ascii="SimSun" w:hAnsi="SimSun" w:eastAsia="SimSun" w:cs="SimSun"/>
          <w:color w:val="000000"/>
          <w:sz w:val="22"/>
        </w:rPr>
        <w:t xml:space="preserve">     </w:t>
      </w:r>
      <w:r>
        <w:rPr>
          <w:rFonts w:ascii="SimSun" w:hAnsi="SimSun" w:eastAsia="SimSun" w:cs="SimSun"/>
          <w:color w:val="000000"/>
          <w:sz w:val="21"/>
        </w:rPr>
        <w:t xml:space="preserve">）。</w:t>
      </w:r>
      <w:r/>
    </w:p>
    <w:p>
      <w:pPr>
        <w:ind w:left="0" w:right="0" w:firstLine="42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42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rPr>
          <w:rFonts w:ascii="SimSun" w:hAnsi="SimSun" w:eastAsia="SimSun" w:cs="SimSun"/>
          <w:color w:val="000000"/>
          <w:sz w:val="22"/>
        </w:rPr>
        <w:t xml:space="preserve">1</w:t>
      </w:r>
      <w:r>
        <w:rPr>
          <w:rFonts w:ascii="SimSun" w:hAnsi="SimSun" w:eastAsia="SimSun" w:cs="SimSun"/>
          <w:color w:val="000000"/>
          <w:sz w:val="21"/>
        </w:rPr>
        <w:t xml:space="preserve">、供应商如不提供此声明函，价格将不做相应扣除。</w:t>
      </w:r>
      <w:r>
        <w:rPr>
          <w:rFonts w:ascii="SimSun" w:hAnsi="SimSun" w:eastAsia="SimSun" w:cs="SimSun"/>
          <w:color w:val="000000"/>
          <w:sz w:val="22"/>
        </w:rPr>
        <w:t xml:space="preserve">2</w:t>
      </w:r>
      <w:r>
        <w:rPr>
          <w:rFonts w:ascii="SimSun" w:hAnsi="SimSun" w:eastAsia="SimSun" w:cs="SimSun"/>
          <w:color w:val="000000"/>
          <w:sz w:val="21"/>
        </w:rPr>
        <w:t xml:space="preserve">、中标供应商为残疾人福利单位的，此声明函将随中标结果同时公告，接受社会监督）</w:t>
      </w:r>
      <w:r/>
    </w:p>
    <w:p>
      <w:pPr>
        <w:ind w:left="0" w:right="0" w:firstLine="444"/>
        <w:jc w:val="both"/>
        <w:spacing w:before="220" w:after="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2"/>
        </w:rPr>
        <w:t xml:space="preserve"> </w:t>
      </w:r>
      <w:r/>
    </w:p>
    <w:p>
      <w:pPr>
        <w:ind w:left="0" w:right="0" w:firstLine="420"/>
        <w:jc w:val="center"/>
        <w:spacing w:before="220" w:after="0" w:line="253"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rPr>
          <w:rFonts w:ascii="SimSun" w:hAnsi="SimSun" w:eastAsia="SimSun" w:cs="SimSun"/>
          <w:color w:val="000000"/>
          <w:sz w:val="21"/>
        </w:rPr>
        <w:t xml:space="preserve">供应商全称（盖章）：</w:t>
      </w:r>
      <w:r/>
    </w:p>
    <w:p>
      <w:pPr>
        <w:ind w:left="0" w:right="0" w:firstLine="0"/>
        <w:jc w:val="center"/>
        <w:spacing w:before="220" w:after="312"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rPr>
          <w:rFonts w:ascii="SimSun" w:hAnsi="SimSun" w:eastAsia="SimSun" w:cs="SimSun"/>
          <w:color w:val="000000"/>
          <w:sz w:val="21"/>
        </w:rPr>
        <w:t xml:space="preserve">日</w:t>
      </w:r>
      <w:r>
        <w:rPr>
          <w:rFonts w:ascii="SimSun" w:hAnsi="SimSun" w:eastAsia="SimSun" w:cs="SimSun"/>
          <w:color w:val="000000"/>
          <w:sz w:val="22"/>
        </w:rPr>
        <w:t xml:space="preserve">  </w:t>
      </w:r>
      <w:r>
        <w:rPr>
          <w:rFonts w:ascii="SimSun" w:hAnsi="SimSun" w:eastAsia="SimSun" w:cs="SimSun"/>
          <w:color w:val="000000"/>
          <w:sz w:val="21"/>
        </w:rPr>
        <w:t xml:space="preserve">期：</w:t>
      </w:r>
      <w:r>
        <w:rPr>
          <w:rFonts w:ascii="SimSun" w:hAnsi="SimSun" w:eastAsia="SimSun" w:cs="SimSun"/>
          <w:b/>
          <w:color w:val="000000"/>
          <w:sz w:val="28"/>
        </w:rPr>
        <w:t xml:space="preserve"> </w:t>
      </w:r>
      <w:r/>
    </w:p>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十、开标一览表</w:t>
      </w:r>
      <w:r/>
    </w:p>
    <w:p>
      <w:pPr>
        <w:ind w:left="0" w:right="0" w:firstLine="48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投标人全称（盖章）：</w:t>
      </w:r>
      <w:r/>
    </w:p>
    <w:p>
      <w:pPr>
        <w:ind w:left="0" w:right="0" w:firstLine="48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p>
      <w:pPr>
        <w:ind w:left="0" w:right="0" w:firstLine="48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06"/>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投标报价（人民币：元）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ind w:left="0" w:right="0" w:firstLine="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ind w:left="0" w:right="0" w:firstLine="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w:t>
            </w:r>
            <w:r/>
          </w:p>
        </w:tc>
      </w:tr>
    </w:tbl>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20" w:after="29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br w:type="page" w:clear="all"/>
      </w:r>
      <w:r/>
    </w:p>
    <w:p>
      <w:pPr>
        <w:ind w:left="0" w:right="0" w:firstLine="0"/>
        <w:jc w:val="center"/>
        <w:spacing w:before="220" w:after="29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十一、分项报价表</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供应商全称（盖章）：</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分包号： </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336"/>
        <w:gridCol w:w="2789"/>
        <w:gridCol w:w="3001"/>
      </w:tblGrid>
      <w:tr>
        <w:trPr>
          <w:trHeight w:val="65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89"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01"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r>
      <w:tr>
        <w:trPr>
          <w:trHeight w:val="7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89"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1"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总价</w:t>
            </w:r>
            <w:r/>
          </w:p>
        </w:tc>
      </w:tr>
      <w:tr>
        <w:trPr>
          <w:trHeight w:val="7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89"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1"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7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89"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1"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7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89"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1"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89"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1"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9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合计</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0"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十二、技术要求响应及偏离表</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十三、商务要求响应及偏离表</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2"/>
        <w:gridCol w:w="2688"/>
        <w:gridCol w:w="2883"/>
        <w:gridCol w:w="1302"/>
        <w:gridCol w:w="161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88"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83"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562"/>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62"/>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62"/>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62"/>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十四、其他</w:t>
      </w:r>
      <w:r/>
    </w:p>
    <w:p>
      <w:pPr>
        <w:ind w:left="0" w:right="0" w:firstLine="482"/>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（投标供应商认为有必要提供的声明和文件，如有自拟并自行添加）</w:t>
      </w:r>
      <w:r/>
    </w:p>
    <w:p>
      <w:pPr>
        <w:ind w:left="0" w:right="0" w:firstLine="48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560"/>
        <w:spacing w:before="220" w:after="0" w:line="25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br w:type="page" w:clear="all"/>
      </w:r>
      <w:r/>
    </w:p>
    <w:p>
      <w:pPr>
        <w:ind w:left="0" w:right="0" w:firstLine="562"/>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主要标的信息（中标后将公示）</w:t>
      </w:r>
      <w:r/>
    </w:p>
    <w:p>
      <w:pPr>
        <w:ind w:left="0" w:right="0" w:firstLine="56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投标供应商全称：</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901"/>
        <w:gridCol w:w="378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01" w:type="dxa"/>
            <w:vAlign w:val="top"/>
            <w:textDirection w:val="lrTb"/>
            <w:noWrap/>
          </w:tcPr>
          <w:p>
            <w:pPr>
              <w:ind w:left="0" w:right="0" w:firstLine="56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货物类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80" w:type="dxa"/>
            <w:vAlign w:val="top"/>
            <w:textDirection w:val="lrTb"/>
            <w:noWrap/>
          </w:tcPr>
          <w:p>
            <w:pPr>
              <w:ind w:left="0" w:right="0" w:firstLine="56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服务类</w:t>
            </w:r>
            <w:r/>
          </w:p>
        </w:tc>
      </w:tr>
      <w:tr>
        <w:trPr>
          <w:trHeight w:val="3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01" w:type="dxa"/>
            <w:vAlign w:val="top"/>
            <w:textDirection w:val="lrTb"/>
            <w:noWrap/>
          </w:tcPr>
          <w:p>
            <w:pPr>
              <w:ind w:left="0" w:right="0" w:firstLine="56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w:t>
            </w:r>
            <w:r/>
          </w:p>
          <w:p>
            <w:pPr>
              <w:ind w:left="0" w:right="0" w:firstLine="56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品牌（如有）：</w:t>
            </w:r>
            <w:r/>
          </w:p>
          <w:p>
            <w:pPr>
              <w:ind w:left="0" w:right="0" w:firstLine="56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规格型号：</w:t>
            </w:r>
            <w:r/>
          </w:p>
          <w:p>
            <w:pPr>
              <w:ind w:left="0" w:right="0" w:firstLine="56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数量：</w:t>
            </w:r>
            <w:r/>
          </w:p>
          <w:p>
            <w:pPr>
              <w:ind w:left="0" w:right="0" w:firstLine="56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80" w:type="dxa"/>
            <w:vAlign w:val="top"/>
            <w:textDirection w:val="lrTb"/>
            <w:noWrap/>
          </w:tcPr>
          <w:p>
            <w:pPr>
              <w:ind w:left="0" w:right="0" w:firstLine="56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w:t>
            </w:r>
            <w:r/>
          </w:p>
          <w:p>
            <w:pPr>
              <w:ind w:left="0" w:right="0" w:firstLine="56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服务范围：</w:t>
            </w:r>
            <w:r/>
          </w:p>
          <w:p>
            <w:pPr>
              <w:ind w:left="0" w:right="0" w:firstLine="56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服务要求：</w:t>
            </w:r>
            <w:r/>
          </w:p>
          <w:p>
            <w:pPr>
              <w:ind w:left="0" w:right="0" w:firstLine="56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服务时间：</w:t>
            </w:r>
            <w:r/>
          </w:p>
          <w:p>
            <w:pPr>
              <w:ind w:left="0" w:right="0" w:firstLine="56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服务标准：</w:t>
            </w:r>
            <w:r/>
          </w:p>
        </w:tc>
      </w:tr>
    </w:tbl>
    <w:p>
      <w:pPr>
        <w:ind w:left="0" w:right="0" w:firstLine="480"/>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jc w:val="right"/>
        <w:spacing w:before="220" w:after="0" w:line="25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560"/>
        <w:spacing w:before="220" w:after="200" w:line="25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220" w:after="200" w:line="25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engXian">
    <w:panose1 w:val="02010600030101010101"/>
  </w:font>
  <w:font w:name="YouYuan">
    <w:panose1 w:val="02010509060101010101"/>
  </w:font>
  <w:font w:name="Times New Roman">
    <w:panose1 w:val="02020603050405020304"/>
  </w:font>
  <w:font w:name="FangSong">
    <w:panose1 w:val="02010609060101010101"/>
  </w:font>
  <w:font w:name="SimHei">
    <w:panose1 w:val="02010609060101010101"/>
  </w:font>
  <w:font w:name="Calibri">
    <w:panose1 w:val="020F0502020204030204"/>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2"/>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decimal"/>
      <w:isLgl w:val="false"/>
      <w:suff w:val="tab"/>
      <w:lvlText w:val="%3."/>
      <w:lvlJc w:val="right"/>
      <w:pPr>
        <w:ind w:left="2160" w:hanging="36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decimal"/>
      <w:isLgl w:val="false"/>
      <w:suff w:val="tab"/>
      <w:lvlText w:val="%6."/>
      <w:lvlJc w:val="right"/>
      <w:pPr>
        <w:ind w:left="4320" w:hanging="36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decimal"/>
      <w:isLgl w:val="false"/>
      <w:suff w:val="tab"/>
      <w:lvlText w:val="%9."/>
      <w:lvlJc w:val="right"/>
      <w:pPr>
        <w:ind w:left="6480" w:hanging="360"/>
      </w:p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8">
    <w:name w:val="Heading 1"/>
    <w:link w:val="649"/>
    <w:uiPriority w:val="9"/>
    <w:qFormat/>
    <w:pPr>
      <w:keepLines/>
      <w:keepNext/>
      <w:spacing w:before="480" w:after="200"/>
      <w:outlineLvl w:val="0"/>
    </w:pPr>
    <w:rPr>
      <w:rFonts w:ascii="Arial" w:hAnsi="Arial" w:eastAsia="Arial" w:cs="Arial"/>
      <w:sz w:val="40"/>
      <w:szCs w:val="40"/>
    </w:rPr>
  </w:style>
  <w:style w:type="character" w:styleId="649">
    <w:name w:val="Heading 1 Char"/>
    <w:link w:val="648"/>
    <w:uiPriority w:val="9"/>
    <w:rPr>
      <w:rFonts w:ascii="Arial" w:hAnsi="Arial" w:eastAsia="Arial" w:cs="Arial"/>
      <w:sz w:val="40"/>
      <w:szCs w:val="40"/>
    </w:rPr>
  </w:style>
  <w:style w:type="paragraph" w:styleId="650">
    <w:name w:val="Heading 2"/>
    <w:link w:val="651"/>
    <w:uiPriority w:val="9"/>
    <w:unhideWhenUsed/>
    <w:qFormat/>
    <w:pPr>
      <w:keepLines/>
      <w:keepNext/>
      <w:spacing w:before="360" w:after="200"/>
      <w:outlineLvl w:val="1"/>
    </w:pPr>
    <w:rPr>
      <w:rFonts w:ascii="Arial" w:hAnsi="Arial" w:eastAsia="Arial" w:cs="Arial"/>
      <w:sz w:val="34"/>
    </w:rPr>
  </w:style>
  <w:style w:type="character" w:styleId="651">
    <w:name w:val="Heading 2 Char"/>
    <w:link w:val="650"/>
    <w:uiPriority w:val="9"/>
    <w:rPr>
      <w:rFonts w:ascii="Arial" w:hAnsi="Arial" w:eastAsia="Arial" w:cs="Arial"/>
      <w:sz w:val="34"/>
    </w:rPr>
  </w:style>
  <w:style w:type="paragraph" w:styleId="652">
    <w:name w:val="Heading 3"/>
    <w:link w:val="653"/>
    <w:uiPriority w:val="9"/>
    <w:unhideWhenUsed/>
    <w:qFormat/>
    <w:pPr>
      <w:keepLines/>
      <w:keepNext/>
      <w:spacing w:before="320" w:after="200"/>
      <w:outlineLvl w:val="2"/>
    </w:pPr>
    <w:rPr>
      <w:rFonts w:ascii="Arial" w:hAnsi="Arial" w:eastAsia="Arial" w:cs="Arial"/>
      <w:sz w:val="30"/>
      <w:szCs w:val="30"/>
    </w:rPr>
  </w:style>
  <w:style w:type="character" w:styleId="653">
    <w:name w:val="Heading 3 Char"/>
    <w:link w:val="652"/>
    <w:uiPriority w:val="9"/>
    <w:rPr>
      <w:rFonts w:ascii="Arial" w:hAnsi="Arial" w:eastAsia="Arial" w:cs="Arial"/>
      <w:sz w:val="30"/>
      <w:szCs w:val="30"/>
    </w:rPr>
  </w:style>
  <w:style w:type="paragraph" w:styleId="654">
    <w:name w:val="Heading 4"/>
    <w:link w:val="655"/>
    <w:uiPriority w:val="9"/>
    <w:unhideWhenUsed/>
    <w:qFormat/>
    <w:pPr>
      <w:keepLines/>
      <w:keepNext/>
      <w:spacing w:before="320" w:after="200"/>
      <w:outlineLvl w:val="3"/>
    </w:pPr>
    <w:rPr>
      <w:rFonts w:ascii="Arial" w:hAnsi="Arial" w:eastAsia="Arial" w:cs="Arial"/>
      <w:b/>
      <w:bCs/>
      <w:sz w:val="26"/>
      <w:szCs w:val="26"/>
    </w:rPr>
  </w:style>
  <w:style w:type="character" w:styleId="655">
    <w:name w:val="Heading 4 Char"/>
    <w:link w:val="654"/>
    <w:uiPriority w:val="9"/>
    <w:rPr>
      <w:rFonts w:ascii="Arial" w:hAnsi="Arial" w:eastAsia="Arial" w:cs="Arial"/>
      <w:b/>
      <w:bCs/>
      <w:sz w:val="26"/>
      <w:szCs w:val="26"/>
    </w:rPr>
  </w:style>
  <w:style w:type="paragraph" w:styleId="656">
    <w:name w:val="Heading 5"/>
    <w:link w:val="657"/>
    <w:uiPriority w:val="9"/>
    <w:unhideWhenUsed/>
    <w:qFormat/>
    <w:pPr>
      <w:keepLines/>
      <w:keepNext/>
      <w:spacing w:before="320" w:after="200"/>
      <w:outlineLvl w:val="4"/>
    </w:pPr>
    <w:rPr>
      <w:rFonts w:ascii="Arial" w:hAnsi="Arial" w:eastAsia="Arial" w:cs="Arial"/>
      <w:b/>
      <w:bCs/>
      <w:sz w:val="24"/>
      <w:szCs w:val="24"/>
    </w:rPr>
  </w:style>
  <w:style w:type="character" w:styleId="657">
    <w:name w:val="Heading 5 Char"/>
    <w:link w:val="656"/>
    <w:uiPriority w:val="9"/>
    <w:rPr>
      <w:rFonts w:ascii="Arial" w:hAnsi="Arial" w:eastAsia="Arial" w:cs="Arial"/>
      <w:b/>
      <w:bCs/>
      <w:sz w:val="24"/>
      <w:szCs w:val="24"/>
    </w:rPr>
  </w:style>
  <w:style w:type="paragraph" w:styleId="658">
    <w:name w:val="Heading 6"/>
    <w:link w:val="659"/>
    <w:uiPriority w:val="9"/>
    <w:unhideWhenUsed/>
    <w:qFormat/>
    <w:pPr>
      <w:keepLines/>
      <w:keepNext/>
      <w:spacing w:before="320" w:after="200"/>
      <w:outlineLvl w:val="5"/>
    </w:pPr>
    <w:rPr>
      <w:rFonts w:ascii="Arial" w:hAnsi="Arial" w:eastAsia="Arial" w:cs="Arial"/>
      <w:b/>
      <w:bCs/>
      <w:sz w:val="22"/>
      <w:szCs w:val="22"/>
    </w:rPr>
  </w:style>
  <w:style w:type="character" w:styleId="659">
    <w:name w:val="Heading 6 Char"/>
    <w:link w:val="658"/>
    <w:uiPriority w:val="9"/>
    <w:rPr>
      <w:rFonts w:ascii="Arial" w:hAnsi="Arial" w:eastAsia="Arial" w:cs="Arial"/>
      <w:b/>
      <w:bCs/>
      <w:sz w:val="22"/>
      <w:szCs w:val="22"/>
    </w:rPr>
  </w:style>
  <w:style w:type="paragraph" w:styleId="660">
    <w:name w:val="Heading 7"/>
    <w:link w:val="661"/>
    <w:uiPriority w:val="9"/>
    <w:unhideWhenUsed/>
    <w:qFormat/>
    <w:pPr>
      <w:keepLines/>
      <w:keepNext/>
      <w:spacing w:before="320" w:after="200"/>
      <w:outlineLvl w:val="6"/>
    </w:pPr>
    <w:rPr>
      <w:rFonts w:ascii="Arial" w:hAnsi="Arial" w:eastAsia="Arial" w:cs="Arial"/>
      <w:b/>
      <w:bCs/>
      <w:i/>
      <w:iCs/>
      <w:sz w:val="22"/>
      <w:szCs w:val="22"/>
    </w:rPr>
  </w:style>
  <w:style w:type="character" w:styleId="661">
    <w:name w:val="Heading 7 Char"/>
    <w:link w:val="660"/>
    <w:uiPriority w:val="9"/>
    <w:rPr>
      <w:rFonts w:ascii="Arial" w:hAnsi="Arial" w:eastAsia="Arial" w:cs="Arial"/>
      <w:b/>
      <w:bCs/>
      <w:i/>
      <w:iCs/>
      <w:sz w:val="22"/>
      <w:szCs w:val="22"/>
    </w:rPr>
  </w:style>
  <w:style w:type="paragraph" w:styleId="662">
    <w:name w:val="Heading 8"/>
    <w:link w:val="663"/>
    <w:uiPriority w:val="9"/>
    <w:unhideWhenUsed/>
    <w:qFormat/>
    <w:pPr>
      <w:keepLines/>
      <w:keepNext/>
      <w:spacing w:before="320" w:after="200"/>
      <w:outlineLvl w:val="7"/>
    </w:pPr>
    <w:rPr>
      <w:rFonts w:ascii="Arial" w:hAnsi="Arial" w:eastAsia="Arial" w:cs="Arial"/>
      <w:i/>
      <w:iCs/>
      <w:sz w:val="22"/>
      <w:szCs w:val="22"/>
    </w:rPr>
  </w:style>
  <w:style w:type="character" w:styleId="663">
    <w:name w:val="Heading 8 Char"/>
    <w:link w:val="662"/>
    <w:uiPriority w:val="9"/>
    <w:rPr>
      <w:rFonts w:ascii="Arial" w:hAnsi="Arial" w:eastAsia="Arial" w:cs="Arial"/>
      <w:i/>
      <w:iCs/>
      <w:sz w:val="22"/>
      <w:szCs w:val="22"/>
    </w:rPr>
  </w:style>
  <w:style w:type="paragraph" w:styleId="664">
    <w:name w:val="Heading 9"/>
    <w:link w:val="665"/>
    <w:uiPriority w:val="9"/>
    <w:unhideWhenUsed/>
    <w:qFormat/>
    <w:pPr>
      <w:keepLines/>
      <w:keepNext/>
      <w:spacing w:before="320" w:after="200"/>
      <w:outlineLvl w:val="8"/>
    </w:pPr>
    <w:rPr>
      <w:rFonts w:ascii="Arial" w:hAnsi="Arial" w:eastAsia="Arial" w:cs="Arial"/>
      <w:i/>
      <w:iCs/>
      <w:sz w:val="21"/>
      <w:szCs w:val="21"/>
    </w:rPr>
  </w:style>
  <w:style w:type="character" w:styleId="665">
    <w:name w:val="Heading 9 Char"/>
    <w:link w:val="664"/>
    <w:uiPriority w:val="9"/>
    <w:rPr>
      <w:rFonts w:ascii="Arial" w:hAnsi="Arial" w:eastAsia="Arial" w:cs="Arial"/>
      <w:i/>
      <w:iCs/>
      <w:sz w:val="21"/>
      <w:szCs w:val="21"/>
    </w:rPr>
  </w:style>
  <w:style w:type="paragraph" w:styleId="666">
    <w:name w:val="List Paragraph"/>
    <w:uiPriority w:val="34"/>
    <w:qFormat/>
    <w:pPr>
      <w:contextualSpacing/>
      <w:ind w:left="720"/>
    </w:pPr>
  </w:style>
  <w:style w:type="paragraph" w:styleId="667">
    <w:name w:val="No Spacing"/>
    <w:uiPriority w:val="1"/>
    <w:qFormat/>
    <w:pPr>
      <w:spacing w:before="0" w:after="0" w:line="240" w:lineRule="auto"/>
    </w:pPr>
  </w:style>
  <w:style w:type="paragraph" w:styleId="668">
    <w:name w:val="Title"/>
    <w:link w:val="669"/>
    <w:uiPriority w:val="10"/>
    <w:qFormat/>
    <w:pPr>
      <w:contextualSpacing/>
      <w:spacing w:before="300" w:after="200"/>
    </w:pPr>
    <w:rPr>
      <w:sz w:val="48"/>
      <w:szCs w:val="48"/>
    </w:rPr>
  </w:style>
  <w:style w:type="character" w:styleId="669">
    <w:name w:val="Title Char"/>
    <w:link w:val="668"/>
    <w:uiPriority w:val="10"/>
    <w:rPr>
      <w:sz w:val="48"/>
      <w:szCs w:val="48"/>
    </w:rPr>
  </w:style>
  <w:style w:type="paragraph" w:styleId="670">
    <w:name w:val="Subtitle"/>
    <w:link w:val="671"/>
    <w:uiPriority w:val="11"/>
    <w:qFormat/>
    <w:pPr>
      <w:spacing w:before="200" w:after="200"/>
    </w:pPr>
    <w:rPr>
      <w:sz w:val="24"/>
      <w:szCs w:val="24"/>
    </w:rPr>
  </w:style>
  <w:style w:type="character" w:styleId="671">
    <w:name w:val="Subtitle Char"/>
    <w:link w:val="670"/>
    <w:uiPriority w:val="11"/>
    <w:rPr>
      <w:sz w:val="24"/>
      <w:szCs w:val="24"/>
    </w:rPr>
  </w:style>
  <w:style w:type="paragraph" w:styleId="672">
    <w:name w:val="Quote"/>
    <w:link w:val="673"/>
    <w:uiPriority w:val="29"/>
    <w:qFormat/>
    <w:pPr>
      <w:ind w:left="720" w:right="720"/>
    </w:pPr>
    <w:rPr>
      <w:i/>
    </w:rPr>
  </w:style>
  <w:style w:type="character" w:styleId="673">
    <w:name w:val="Quote Char"/>
    <w:link w:val="672"/>
    <w:uiPriority w:val="29"/>
    <w:rPr>
      <w:i/>
    </w:rPr>
  </w:style>
  <w:style w:type="paragraph" w:styleId="674">
    <w:name w:val="Intense Quote"/>
    <w:link w:val="6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5">
    <w:name w:val="Intense Quote Char"/>
    <w:link w:val="674"/>
    <w:uiPriority w:val="30"/>
    <w:rPr>
      <w:i/>
    </w:rPr>
  </w:style>
  <w:style w:type="paragraph" w:styleId="676">
    <w:name w:val="Header"/>
    <w:link w:val="677"/>
    <w:uiPriority w:val="99"/>
    <w:unhideWhenUsed/>
    <w:pPr>
      <w:spacing w:after="0" w:line="240" w:lineRule="auto"/>
      <w:tabs>
        <w:tab w:val="center" w:pos="7143" w:leader="none"/>
        <w:tab w:val="right" w:pos="14287" w:leader="none"/>
      </w:tabs>
    </w:pPr>
  </w:style>
  <w:style w:type="character" w:styleId="677">
    <w:name w:val="Header Char"/>
    <w:link w:val="676"/>
    <w:uiPriority w:val="99"/>
  </w:style>
  <w:style w:type="paragraph" w:styleId="678">
    <w:name w:val="Footer"/>
    <w:link w:val="681"/>
    <w:uiPriority w:val="99"/>
    <w:unhideWhenUsed/>
    <w:pPr>
      <w:spacing w:after="0" w:line="240" w:lineRule="auto"/>
      <w:tabs>
        <w:tab w:val="center" w:pos="7143" w:leader="none"/>
        <w:tab w:val="right" w:pos="14287" w:leader="none"/>
      </w:tabs>
    </w:pPr>
  </w:style>
  <w:style w:type="character" w:styleId="679">
    <w:name w:val="Footer Char"/>
    <w:link w:val="678"/>
    <w:uiPriority w:val="99"/>
  </w:style>
  <w:style w:type="paragraph" w:styleId="680">
    <w:name w:val="Caption"/>
    <w:uiPriority w:val="35"/>
    <w:semiHidden/>
    <w:unhideWhenUsed/>
    <w:qFormat/>
    <w:pPr>
      <w:spacing w:line="276" w:lineRule="auto"/>
    </w:pPr>
    <w:rPr>
      <w:b/>
      <w:bCs/>
      <w:color w:val="4f81bd" w:themeColor="accent1"/>
      <w:sz w:val="18"/>
      <w:szCs w:val="18"/>
    </w:rPr>
  </w:style>
  <w:style w:type="character" w:styleId="681">
    <w:name w:val="Caption Char"/>
    <w:basedOn w:val="680"/>
    <w:link w:val="678"/>
    <w:uiPriority w:val="99"/>
  </w:style>
  <w:style w:type="table" w:styleId="68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8">
    <w:name w:val="Hyperlink"/>
    <w:uiPriority w:val="99"/>
    <w:unhideWhenUsed/>
    <w:rPr>
      <w:color w:val="0000ff" w:themeColor="hyperlink"/>
      <w:u w:val="single"/>
    </w:rPr>
  </w:style>
  <w:style w:type="paragraph" w:styleId="809">
    <w:name w:val="footnote text"/>
    <w:link w:val="810"/>
    <w:uiPriority w:val="99"/>
    <w:semiHidden/>
    <w:unhideWhenUsed/>
    <w:pPr>
      <w:spacing w:after="40" w:line="240" w:lineRule="auto"/>
    </w:pPr>
    <w:rPr>
      <w:sz w:val="18"/>
    </w:rPr>
  </w:style>
  <w:style w:type="character" w:styleId="810">
    <w:name w:val="Footnote Text Char"/>
    <w:link w:val="809"/>
    <w:uiPriority w:val="99"/>
    <w:rPr>
      <w:sz w:val="18"/>
    </w:rPr>
  </w:style>
  <w:style w:type="character" w:styleId="811">
    <w:name w:val="footnote reference"/>
    <w:uiPriority w:val="99"/>
    <w:unhideWhenUsed/>
    <w:rPr>
      <w:vertAlign w:val="superscript"/>
    </w:rPr>
  </w:style>
  <w:style w:type="paragraph" w:styleId="812">
    <w:name w:val="endnote text"/>
    <w:link w:val="813"/>
    <w:uiPriority w:val="99"/>
    <w:semiHidden/>
    <w:unhideWhenUsed/>
    <w:pPr>
      <w:spacing w:after="0" w:line="240" w:lineRule="auto"/>
    </w:pPr>
    <w:rPr>
      <w:sz w:val="20"/>
    </w:rPr>
  </w:style>
  <w:style w:type="character" w:styleId="813">
    <w:name w:val="Endnote Text Char"/>
    <w:link w:val="812"/>
    <w:uiPriority w:val="99"/>
    <w:rPr>
      <w:sz w:val="20"/>
    </w:rPr>
  </w:style>
  <w:style w:type="character" w:styleId="814">
    <w:name w:val="endnote reference"/>
    <w:uiPriority w:val="99"/>
    <w:semiHidden/>
    <w:unhideWhenUsed/>
    <w:rPr>
      <w:vertAlign w:val="superscript"/>
    </w:rPr>
  </w:style>
  <w:style w:type="paragraph" w:styleId="815">
    <w:name w:val="toc 1"/>
    <w:uiPriority w:val="39"/>
    <w:unhideWhenUsed/>
    <w:pPr>
      <w:ind w:left="0" w:right="0" w:firstLine="0"/>
      <w:spacing w:after="57"/>
    </w:pPr>
  </w:style>
  <w:style w:type="paragraph" w:styleId="816">
    <w:name w:val="toc 2"/>
    <w:uiPriority w:val="39"/>
    <w:unhideWhenUsed/>
    <w:pPr>
      <w:ind w:left="283" w:right="0" w:firstLine="0"/>
      <w:spacing w:after="57"/>
    </w:pPr>
  </w:style>
  <w:style w:type="paragraph" w:styleId="817">
    <w:name w:val="toc 3"/>
    <w:uiPriority w:val="39"/>
    <w:unhideWhenUsed/>
    <w:pPr>
      <w:ind w:left="567" w:right="0" w:firstLine="0"/>
      <w:spacing w:after="57"/>
    </w:pPr>
  </w:style>
  <w:style w:type="paragraph" w:styleId="818">
    <w:name w:val="toc 4"/>
    <w:uiPriority w:val="39"/>
    <w:unhideWhenUsed/>
    <w:pPr>
      <w:ind w:left="850" w:right="0" w:firstLine="0"/>
      <w:spacing w:after="57"/>
    </w:pPr>
  </w:style>
  <w:style w:type="paragraph" w:styleId="819">
    <w:name w:val="toc 5"/>
    <w:uiPriority w:val="39"/>
    <w:unhideWhenUsed/>
    <w:pPr>
      <w:ind w:left="1134" w:right="0" w:firstLine="0"/>
      <w:spacing w:after="57"/>
    </w:pPr>
  </w:style>
  <w:style w:type="paragraph" w:styleId="820">
    <w:name w:val="toc 6"/>
    <w:uiPriority w:val="39"/>
    <w:unhideWhenUsed/>
    <w:pPr>
      <w:ind w:left="1417" w:right="0" w:firstLine="0"/>
      <w:spacing w:after="57"/>
    </w:pPr>
  </w:style>
  <w:style w:type="paragraph" w:styleId="821">
    <w:name w:val="toc 7"/>
    <w:uiPriority w:val="39"/>
    <w:unhideWhenUsed/>
    <w:pPr>
      <w:ind w:left="1701" w:right="0" w:firstLine="0"/>
      <w:spacing w:after="57"/>
    </w:pPr>
  </w:style>
  <w:style w:type="paragraph" w:styleId="822">
    <w:name w:val="toc 8"/>
    <w:uiPriority w:val="39"/>
    <w:unhideWhenUsed/>
    <w:pPr>
      <w:ind w:left="1984" w:right="0" w:firstLine="0"/>
      <w:spacing w:after="57"/>
    </w:pPr>
  </w:style>
  <w:style w:type="paragraph" w:styleId="823">
    <w:name w:val="toc 9"/>
    <w:uiPriority w:val="39"/>
    <w:unhideWhenUsed/>
    <w:pPr>
      <w:ind w:left="2268" w:right="0" w:firstLine="0"/>
      <w:spacing w:after="57"/>
    </w:pPr>
  </w:style>
  <w:style w:type="paragraph" w:styleId="824">
    <w:name w:val="TOC Heading"/>
    <w:uiPriority w:val="39"/>
    <w:unhideWhenUsed/>
  </w:style>
  <w:style w:type="paragraph" w:styleId="825">
    <w:name w:val="table of figures"/>
    <w:uiPriority w:val="99"/>
    <w:unhideWhenUsed/>
    <w:pPr>
      <w:spacing w:after="0" w:afterAutospacing="0"/>
    </w:pPr>
  </w:style>
  <w:style w:type="character" w:styleId="826" w:default="1">
    <w:name w:val="Default Paragraph Font"/>
    <w:uiPriority w:val="1"/>
    <w:semiHidden/>
    <w:unhideWhenUsed/>
  </w:style>
  <w:style w:type="numbering" w:styleId="827" w:default="1">
    <w:name w:val="No List"/>
    <w:uiPriority w:val="99"/>
    <w:semiHidden/>
    <w:unhideWhenUsed/>
  </w:style>
  <w:style w:type="paragraph" w:styleId="828" w:default="1">
    <w:name w:val="Normal"/>
    <w:qFormat/>
  </w:style>
  <w:style w:type="table" w:styleId="82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EF%BC%89/%E2%80%9C%E5%BC%80%E6%A0%87%E5%A4%A7%E5%8E%85/%E2%80%9D"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王石磊</cp:lastModifiedBy>
  <cp:revision>2</cp:revision>
  <dcterms:created xsi:type="dcterms:W3CDTF">2025-11-06T07:14:35Z</dcterms:created>
  <dcterms:modified xsi:type="dcterms:W3CDTF">2025-11-11T08:51:13Z</dcterms:modified>
</cp:coreProperties>
</file>